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2C" w:rsidRDefault="00741A12" w:rsidP="009D4DCE">
      <w:pPr>
        <w:spacing w:before="240" w:after="200"/>
        <w:jc w:val="center"/>
      </w:pPr>
      <w:bookmarkStart w:id="0" w:name="_GoBack"/>
      <w:bookmarkEnd w:id="0"/>
      <w:r>
        <w:t>[NAME OF ORGANIZATION]</w:t>
      </w:r>
    </w:p>
    <w:p w:rsidR="00DC582C" w:rsidRPr="00741A12" w:rsidRDefault="00A449D8" w:rsidP="00741A12">
      <w:pPr>
        <w:spacing w:after="200"/>
        <w:jc w:val="center"/>
        <w:rPr>
          <w:b/>
          <w:sz w:val="28"/>
          <w:szCs w:val="28"/>
        </w:rPr>
      </w:pPr>
      <w:r w:rsidRPr="00741A12">
        <w:rPr>
          <w:b/>
          <w:sz w:val="28"/>
          <w:szCs w:val="28"/>
        </w:rPr>
        <w:t xml:space="preserve">Statement of </w:t>
      </w:r>
      <w:r w:rsidR="00DC582C" w:rsidRPr="00741A12">
        <w:rPr>
          <w:b/>
          <w:sz w:val="28"/>
          <w:szCs w:val="28"/>
        </w:rPr>
        <w:t>Style for Contract Drafting</w:t>
      </w:r>
    </w:p>
    <w:p w:rsidR="00DC582C" w:rsidRDefault="00DC582C" w:rsidP="008D417A">
      <w:pPr>
        <w:spacing w:after="480"/>
        <w:jc w:val="center"/>
      </w:pPr>
      <w:r>
        <w:t>Version of [date]</w:t>
      </w:r>
    </w:p>
    <w:p w:rsidR="00591941" w:rsidRPr="003235AC" w:rsidRDefault="00591941" w:rsidP="00DC582C">
      <w:pPr>
        <w:spacing w:after="200"/>
        <w:rPr>
          <w:b/>
          <w:i/>
        </w:rPr>
      </w:pPr>
      <w:r w:rsidRPr="003235AC">
        <w:rPr>
          <w:b/>
          <w:i/>
        </w:rPr>
        <w:t>Introduction</w:t>
      </w:r>
    </w:p>
    <w:p w:rsidR="001E3121" w:rsidRDefault="001E3121" w:rsidP="001E3121">
      <w:pPr>
        <w:spacing w:after="200"/>
        <w:rPr>
          <w:szCs w:val="22"/>
        </w:rPr>
      </w:pPr>
      <w:r>
        <w:rPr>
          <w:szCs w:val="22"/>
        </w:rPr>
        <w:t xml:space="preserve">With </w:t>
      </w:r>
      <w:r w:rsidR="009800E8">
        <w:rPr>
          <w:szCs w:val="22"/>
        </w:rPr>
        <w:t xml:space="preserve">the aim of </w:t>
      </w:r>
      <w:r>
        <w:rPr>
          <w:szCs w:val="22"/>
        </w:rPr>
        <w:t xml:space="preserve">ensuring that our contracts are as clear and efficient as possible, we have adopted this </w:t>
      </w:r>
      <w:r w:rsidR="00A449D8">
        <w:rPr>
          <w:szCs w:val="22"/>
        </w:rPr>
        <w:t xml:space="preserve">statement of </w:t>
      </w:r>
      <w:r>
        <w:rPr>
          <w:szCs w:val="22"/>
        </w:rPr>
        <w:t xml:space="preserve">style for contract drafting. </w:t>
      </w:r>
      <w:r w:rsidR="00A955C7">
        <w:rPr>
          <w:szCs w:val="22"/>
        </w:rPr>
        <w:t xml:space="preserve">It </w:t>
      </w:r>
      <w:r w:rsidR="00A449D8">
        <w:rPr>
          <w:szCs w:val="22"/>
        </w:rPr>
        <w:t xml:space="preserve">specifies </w:t>
      </w:r>
      <w:r w:rsidR="00A955C7">
        <w:rPr>
          <w:szCs w:val="22"/>
        </w:rPr>
        <w:t>gui</w:t>
      </w:r>
      <w:r w:rsidR="00731DAC">
        <w:rPr>
          <w:szCs w:val="22"/>
        </w:rPr>
        <w:t xml:space="preserve">delines regarding the look of and, more importantly, the language used in our contracts. </w:t>
      </w:r>
      <w:r>
        <w:rPr>
          <w:szCs w:val="22"/>
        </w:rPr>
        <w:t xml:space="preserve">It applies to everyone in our </w:t>
      </w:r>
      <w:r w:rsidR="00A449D8">
        <w:rPr>
          <w:szCs w:val="22"/>
        </w:rPr>
        <w:t>[</w:t>
      </w:r>
      <w:r>
        <w:rPr>
          <w:szCs w:val="22"/>
        </w:rPr>
        <w:t>organization</w:t>
      </w:r>
      <w:r w:rsidR="00A449D8">
        <w:rPr>
          <w:szCs w:val="22"/>
        </w:rPr>
        <w:t>]</w:t>
      </w:r>
      <w:r>
        <w:rPr>
          <w:szCs w:val="22"/>
        </w:rPr>
        <w:t xml:space="preserve"> who is responsible for drafting or reviewing contracts. </w:t>
      </w:r>
      <w:r w:rsidR="00A955C7">
        <w:rPr>
          <w:szCs w:val="22"/>
        </w:rPr>
        <w:t xml:space="preserve">We believe that complying with this </w:t>
      </w:r>
      <w:r w:rsidR="00A449D8">
        <w:rPr>
          <w:szCs w:val="22"/>
        </w:rPr>
        <w:t xml:space="preserve">statement </w:t>
      </w:r>
      <w:r w:rsidR="00A955C7">
        <w:rPr>
          <w:szCs w:val="22"/>
        </w:rPr>
        <w:t xml:space="preserve">will </w:t>
      </w:r>
      <w:r>
        <w:rPr>
          <w:szCs w:val="22"/>
        </w:rPr>
        <w:t xml:space="preserve">save </w:t>
      </w:r>
      <w:r w:rsidR="008576C8">
        <w:rPr>
          <w:szCs w:val="22"/>
        </w:rPr>
        <w:t xml:space="preserve">us </w:t>
      </w:r>
      <w:r>
        <w:rPr>
          <w:szCs w:val="22"/>
        </w:rPr>
        <w:t>time and money</w:t>
      </w:r>
      <w:r w:rsidR="008576C8">
        <w:rPr>
          <w:szCs w:val="22"/>
        </w:rPr>
        <w:t>,</w:t>
      </w:r>
      <w:r>
        <w:rPr>
          <w:szCs w:val="22"/>
        </w:rPr>
        <w:t xml:space="preserve"> make us more competitive</w:t>
      </w:r>
      <w:r w:rsidR="008576C8">
        <w:rPr>
          <w:szCs w:val="22"/>
        </w:rPr>
        <w:t>, and reduce our risk</w:t>
      </w:r>
      <w:r>
        <w:rPr>
          <w:szCs w:val="22"/>
        </w:rPr>
        <w:t>.</w:t>
      </w:r>
    </w:p>
    <w:p w:rsidR="00DC582C" w:rsidRDefault="00DC582C" w:rsidP="00DC582C">
      <w:pPr>
        <w:spacing w:after="200"/>
        <w:rPr>
          <w:szCs w:val="22"/>
        </w:rPr>
      </w:pPr>
      <w:r>
        <w:t xml:space="preserve">Any kind of writing would benefit from use of a style guide. That’s particularly the case with contract drafting, given </w:t>
      </w:r>
      <w:r>
        <w:rPr>
          <w:szCs w:val="22"/>
        </w:rPr>
        <w:t>that contract language is so limited and stylized and given that the ramifications of unclear contract language are potentially drastic.</w:t>
      </w:r>
    </w:p>
    <w:p w:rsidR="00DC582C" w:rsidRDefault="00731DAC" w:rsidP="00DC582C">
      <w:pPr>
        <w:spacing w:after="200"/>
        <w:rPr>
          <w:szCs w:val="22"/>
        </w:rPr>
      </w:pPr>
      <w:r>
        <w:rPr>
          <w:szCs w:val="22"/>
        </w:rPr>
        <w:t>L</w:t>
      </w:r>
      <w:r w:rsidR="00DC582C">
        <w:rPr>
          <w:szCs w:val="22"/>
        </w:rPr>
        <w:t xml:space="preserve">awyers have traditionally treated contract drafting as a craft, with differences in drafting usages being </w:t>
      </w:r>
      <w:r w:rsidR="008576C8">
        <w:rPr>
          <w:szCs w:val="22"/>
        </w:rPr>
        <w:t>regarded as a matter of personal preference</w:t>
      </w:r>
      <w:r w:rsidR="00A449D8">
        <w:rPr>
          <w:szCs w:val="22"/>
        </w:rPr>
        <w:t xml:space="preserve">. </w:t>
      </w:r>
      <w:r w:rsidR="00DC582C">
        <w:rPr>
          <w:szCs w:val="22"/>
        </w:rPr>
        <w:t>That approach has contributed to the inconsistency and lack of clarity that afflicts mainstream contract language.</w:t>
      </w:r>
      <w:r w:rsidR="001E3121">
        <w:rPr>
          <w:szCs w:val="22"/>
        </w:rPr>
        <w:t xml:space="preserve"> By adopting this </w:t>
      </w:r>
      <w:r w:rsidR="005372C0">
        <w:rPr>
          <w:szCs w:val="22"/>
        </w:rPr>
        <w:t>statement of style</w:t>
      </w:r>
      <w:r w:rsidR="00A955C7">
        <w:rPr>
          <w:szCs w:val="22"/>
        </w:rPr>
        <w:t>, we’</w:t>
      </w:r>
      <w:r w:rsidR="001E3121">
        <w:rPr>
          <w:szCs w:val="22"/>
        </w:rPr>
        <w:t xml:space="preserve">re breaking with that </w:t>
      </w:r>
      <w:r w:rsidR="00CB7123">
        <w:rPr>
          <w:szCs w:val="22"/>
        </w:rPr>
        <w:t>tradition</w:t>
      </w:r>
      <w:r w:rsidR="001E3121">
        <w:rPr>
          <w:szCs w:val="22"/>
        </w:rPr>
        <w:t>.</w:t>
      </w:r>
    </w:p>
    <w:p w:rsidR="00591941" w:rsidRPr="003235AC" w:rsidRDefault="00CB7123" w:rsidP="005372C0">
      <w:pPr>
        <w:keepNext/>
        <w:spacing w:after="200"/>
        <w:rPr>
          <w:b/>
          <w:i/>
          <w:szCs w:val="22"/>
        </w:rPr>
      </w:pPr>
      <w:r>
        <w:rPr>
          <w:b/>
          <w:i/>
          <w:szCs w:val="22"/>
        </w:rPr>
        <w:t xml:space="preserve">Following </w:t>
      </w:r>
      <w:r w:rsidR="00591941" w:rsidRPr="003235AC">
        <w:rPr>
          <w:b/>
          <w:szCs w:val="22"/>
        </w:rPr>
        <w:t>A Manual of Style for Contract Drafting</w:t>
      </w:r>
    </w:p>
    <w:p w:rsidR="001E3121" w:rsidRDefault="001E3121" w:rsidP="00DC582C">
      <w:pPr>
        <w:spacing w:after="200"/>
      </w:pPr>
      <w:r>
        <w:t xml:space="preserve">Once we decided to adopt </w:t>
      </w:r>
      <w:r w:rsidR="005372C0">
        <w:t>contract-drafting guidelines</w:t>
      </w:r>
      <w:r>
        <w:t>, we were faced with two alternatives. We could take advantage of an existing style guide</w:t>
      </w:r>
      <w:r w:rsidR="003235AC">
        <w:t xml:space="preserve"> for contract drafting</w:t>
      </w:r>
      <w:r>
        <w:t xml:space="preserve">, or we could create our own </w:t>
      </w:r>
      <w:r w:rsidR="003235AC">
        <w:t xml:space="preserve">entirely </w:t>
      </w:r>
      <w:r>
        <w:t>from scratch.</w:t>
      </w:r>
    </w:p>
    <w:p w:rsidR="001E3121" w:rsidRDefault="003235AC" w:rsidP="00DC582C">
      <w:pPr>
        <w:spacing w:after="200"/>
      </w:pPr>
      <w:r>
        <w:t>Only one style guide for contract drafting is currently in existence—</w:t>
      </w:r>
      <w:r w:rsidRPr="003235AC">
        <w:rPr>
          <w:i/>
        </w:rPr>
        <w:t>A Manual of Style for Contract Drafting</w:t>
      </w:r>
      <w:r w:rsidR="009800E8">
        <w:t xml:space="preserve"> (</w:t>
      </w:r>
      <w:r w:rsidR="009800E8" w:rsidRPr="009800E8">
        <w:rPr>
          <w:i/>
        </w:rPr>
        <w:t>MSCD</w:t>
      </w:r>
      <w:r w:rsidR="009800E8">
        <w:t xml:space="preserve">), </w:t>
      </w:r>
      <w:r>
        <w:t xml:space="preserve">by Kenneth A. Adams. Published by the American Bar Association and currently in its </w:t>
      </w:r>
      <w:r w:rsidR="009800E8">
        <w:t xml:space="preserve">third </w:t>
      </w:r>
      <w:r>
        <w:t xml:space="preserve">edition, </w:t>
      </w:r>
      <w:r w:rsidRPr="003235AC">
        <w:rPr>
          <w:i/>
        </w:rPr>
        <w:t>MSCD</w:t>
      </w:r>
      <w:r>
        <w:t xml:space="preserve"> is a work of practical scholarship that has gained a wide following in the legal profession. If we </w:t>
      </w:r>
      <w:r w:rsidR="008576C8">
        <w:t xml:space="preserve">want </w:t>
      </w:r>
      <w:r>
        <w:t xml:space="preserve">to piggy-back off of an existing style guide, </w:t>
      </w:r>
      <w:r w:rsidRPr="00CB7123">
        <w:rPr>
          <w:i/>
        </w:rPr>
        <w:t>MSCD</w:t>
      </w:r>
      <w:r>
        <w:t xml:space="preserve"> would be the only candidate.</w:t>
      </w:r>
    </w:p>
    <w:p w:rsidR="003235AC" w:rsidRDefault="003235AC" w:rsidP="00DC582C">
      <w:pPr>
        <w:spacing w:after="200"/>
      </w:pPr>
      <w:r>
        <w:t xml:space="preserve">We could conceivably create our own version of </w:t>
      </w:r>
      <w:r w:rsidRPr="00CB7123">
        <w:rPr>
          <w:i/>
        </w:rPr>
        <w:t>MSCD</w:t>
      </w:r>
      <w:r>
        <w:t>, but that would be unrealistic—it would require more resources and expertise that we have available to devote to the task.</w:t>
      </w:r>
      <w:r w:rsidR="008576C8">
        <w:t xml:space="preserve"> And why reinvent the wheel?</w:t>
      </w:r>
    </w:p>
    <w:p w:rsidR="003235AC" w:rsidRDefault="003235AC" w:rsidP="00DC582C">
      <w:pPr>
        <w:spacing w:after="200"/>
      </w:pPr>
      <w:r>
        <w:t>We could prepare a skimpier version</w:t>
      </w:r>
      <w:r w:rsidR="00CB7123">
        <w:t xml:space="preserve">, </w:t>
      </w:r>
      <w:r w:rsidR="008576C8">
        <w:t xml:space="preserve">one </w:t>
      </w:r>
      <w:r w:rsidR="00CB7123">
        <w:t>perhaps a couple of dozen pages</w:t>
      </w:r>
      <w:r w:rsidR="008576C8">
        <w:t xml:space="preserve"> long</w:t>
      </w:r>
      <w:r w:rsidR="00CB7123">
        <w:t xml:space="preserve">. But any such guide could only skate over the surface of the </w:t>
      </w:r>
      <w:r w:rsidR="008576C8">
        <w:t xml:space="preserve">many subtle </w:t>
      </w:r>
      <w:r w:rsidR="005372C0">
        <w:t xml:space="preserve">issues </w:t>
      </w:r>
      <w:r w:rsidR="008576C8">
        <w:t xml:space="preserve">underlying </w:t>
      </w:r>
      <w:r w:rsidR="005372C0">
        <w:t xml:space="preserve">contract language, </w:t>
      </w:r>
      <w:r w:rsidR="00CB7123">
        <w:t xml:space="preserve">so </w:t>
      </w:r>
      <w:r w:rsidR="005372C0">
        <w:t xml:space="preserve">it </w:t>
      </w:r>
      <w:r w:rsidR="00CB7123">
        <w:t>would be of little value</w:t>
      </w:r>
      <w:r w:rsidR="00E03EBD">
        <w:t xml:space="preserve">—with </w:t>
      </w:r>
      <w:r w:rsidR="00CB7123">
        <w:t>any form of writing, the devil is in the details. All published style guides for general writing are book-length. Given the technical and demanding nature of contract language, it would be unrealistic to expect that one could make do with any</w:t>
      </w:r>
      <w:r w:rsidR="005372C0">
        <w:t>thing</w:t>
      </w:r>
      <w:r w:rsidR="00CB7123">
        <w:t xml:space="preserve"> less for purposes of contract drafting.</w:t>
      </w:r>
    </w:p>
    <w:p w:rsidR="00C84219" w:rsidRDefault="00397159" w:rsidP="00DC582C">
      <w:pPr>
        <w:spacing w:after="200"/>
      </w:pPr>
      <w:r>
        <w:t xml:space="preserve">Consequently, we have decided to follow </w:t>
      </w:r>
      <w:r w:rsidRPr="00397159">
        <w:rPr>
          <w:i/>
        </w:rPr>
        <w:t>MSCD</w:t>
      </w:r>
      <w:r>
        <w:t xml:space="preserve">. </w:t>
      </w:r>
      <w:r w:rsidR="00741A12">
        <w:t>O</w:t>
      </w:r>
      <w:r>
        <w:t xml:space="preserve">ur </w:t>
      </w:r>
      <w:r w:rsidR="005372C0">
        <w:t xml:space="preserve">guidelines regarding </w:t>
      </w:r>
      <w:r>
        <w:t xml:space="preserve">style can be </w:t>
      </w:r>
      <w:r w:rsidR="00741A12">
        <w:t xml:space="preserve">summarized </w:t>
      </w:r>
      <w:r w:rsidR="00C84219">
        <w:t>as follows: C</w:t>
      </w:r>
      <w:r>
        <w:t xml:space="preserve">omply with the recommendations made in </w:t>
      </w:r>
      <w:r w:rsidRPr="00397159">
        <w:rPr>
          <w:i/>
        </w:rPr>
        <w:t>MSCD</w:t>
      </w:r>
      <w:r w:rsidR="00C84219">
        <w:t>.</w:t>
      </w:r>
    </w:p>
    <w:p w:rsidR="003235AC" w:rsidRDefault="004B58B6" w:rsidP="00DC582C">
      <w:pPr>
        <w:spacing w:after="200"/>
      </w:pPr>
      <w:r>
        <w:lastRenderedPageBreak/>
        <w:t>In future version</w:t>
      </w:r>
      <w:r w:rsidR="003F5055">
        <w:t>s</w:t>
      </w:r>
      <w:r>
        <w:t xml:space="preserve"> of this statement w</w:t>
      </w:r>
      <w:r w:rsidR="00741A12">
        <w:t>e might supplement</w:t>
      </w:r>
      <w:r w:rsidR="00397159">
        <w:t xml:space="preserve"> </w:t>
      </w:r>
      <w:r w:rsidR="00741A12">
        <w:t>that guid</w:t>
      </w:r>
      <w:r>
        <w:t>ance</w:t>
      </w:r>
      <w:r w:rsidR="00C84219">
        <w:t xml:space="preserve">, either generally or for purposes of particular kinds of contracts. That’s because sometimes </w:t>
      </w:r>
      <w:r w:rsidR="00C84219" w:rsidRPr="00C84219">
        <w:rPr>
          <w:i/>
        </w:rPr>
        <w:t>MSCD</w:t>
      </w:r>
      <w:r w:rsidR="00C84219">
        <w:t xml:space="preserve"> invites you to choose from different alternatives, depending on the context.</w:t>
      </w:r>
    </w:p>
    <w:p w:rsidR="00397159" w:rsidRPr="00731DAC" w:rsidRDefault="00397159" w:rsidP="005372C0">
      <w:pPr>
        <w:keepNext/>
        <w:spacing w:after="200"/>
        <w:rPr>
          <w:b/>
          <w:i/>
        </w:rPr>
      </w:pPr>
      <w:r w:rsidRPr="00731DAC">
        <w:rPr>
          <w:b/>
          <w:i/>
        </w:rPr>
        <w:t>Surrendering Autonomy</w:t>
      </w:r>
    </w:p>
    <w:p w:rsidR="00932313" w:rsidRDefault="00932313" w:rsidP="00DC582C">
      <w:pPr>
        <w:spacing w:after="200"/>
      </w:pPr>
      <w:r>
        <w:t xml:space="preserve">We expect that some </w:t>
      </w:r>
      <w:r w:rsidR="008576C8">
        <w:t>of our [</w:t>
      </w:r>
      <w:r>
        <w:t>lawyers</w:t>
      </w:r>
      <w:r w:rsidR="008576C8">
        <w:t>] [contracts professionals]</w:t>
      </w:r>
      <w:r>
        <w:t xml:space="preserve"> will bridle at having to conform to the recommendations in </w:t>
      </w:r>
      <w:r w:rsidRPr="00932313">
        <w:rPr>
          <w:i/>
        </w:rPr>
        <w:t>MSCD</w:t>
      </w:r>
      <w:r>
        <w:t xml:space="preserve">. But </w:t>
      </w:r>
      <w:r w:rsidR="005372C0">
        <w:t>sacrificing autonomy is essential to improving the quality and consistency of contract language.</w:t>
      </w:r>
    </w:p>
    <w:p w:rsidR="00397159" w:rsidRDefault="00932313" w:rsidP="00DC582C">
      <w:pPr>
        <w:spacing w:after="200"/>
      </w:pPr>
      <w:r>
        <w:t xml:space="preserve">You may be reluctant to assume that </w:t>
      </w:r>
      <w:r w:rsidRPr="00CE0140">
        <w:rPr>
          <w:i/>
        </w:rPr>
        <w:t>MSCD</w:t>
      </w:r>
      <w:r>
        <w:t xml:space="preserve">’s analysis is reliable. But that’s no </w:t>
      </w:r>
      <w:r w:rsidR="005372C0">
        <w:t xml:space="preserve">basis for not following </w:t>
      </w:r>
      <w:r w:rsidR="00A955C7" w:rsidRPr="00A955C7">
        <w:rPr>
          <w:i/>
        </w:rPr>
        <w:t>MSCD</w:t>
      </w:r>
      <w:r w:rsidR="005372C0">
        <w:t>’s</w:t>
      </w:r>
      <w:r w:rsidR="00A955C7">
        <w:t xml:space="preserve"> </w:t>
      </w:r>
      <w:r w:rsidR="005372C0">
        <w:t>recommendations</w:t>
      </w:r>
      <w:r>
        <w:t>—</w:t>
      </w:r>
      <w:r w:rsidR="00CE0140">
        <w:t xml:space="preserve">to some extent, </w:t>
      </w:r>
      <w:r>
        <w:t xml:space="preserve">using </w:t>
      </w:r>
      <w:r w:rsidR="00397159">
        <w:t>any reference work requires a leap of faith</w:t>
      </w:r>
      <w:r w:rsidR="00A955C7">
        <w:t xml:space="preserve">, and </w:t>
      </w:r>
      <w:r w:rsidR="00A955C7" w:rsidRPr="008576C8">
        <w:rPr>
          <w:i/>
        </w:rPr>
        <w:t>MSCD</w:t>
      </w:r>
      <w:r w:rsidR="00A955C7">
        <w:t xml:space="preserve"> has established its value</w:t>
      </w:r>
      <w:r w:rsidR="00397159">
        <w:t xml:space="preserve">. </w:t>
      </w:r>
      <w:r>
        <w:t xml:space="preserve">If you take issue with anything in </w:t>
      </w:r>
      <w:r w:rsidRPr="00CE0140">
        <w:rPr>
          <w:i/>
        </w:rPr>
        <w:t>MSCD</w:t>
      </w:r>
      <w:r>
        <w:t xml:space="preserve">, </w:t>
      </w:r>
      <w:r w:rsidR="00A449D8">
        <w:t xml:space="preserve">we suggest that you </w:t>
      </w:r>
      <w:r w:rsidR="005372C0">
        <w:t>prepare a</w:t>
      </w:r>
      <w:r>
        <w:t xml:space="preserve"> </w:t>
      </w:r>
      <w:r w:rsidR="00A449D8">
        <w:t xml:space="preserve">detailed </w:t>
      </w:r>
      <w:r>
        <w:t>analysis</w:t>
      </w:r>
      <w:r w:rsidR="004B58B6">
        <w:t xml:space="preserve"> and </w:t>
      </w:r>
      <w:r w:rsidR="009800E8">
        <w:t xml:space="preserve">submit it to me; I’ll </w:t>
      </w:r>
      <w:r>
        <w:t>present it to Ken Adams</w:t>
      </w:r>
      <w:r w:rsidR="008576C8">
        <w:t>, who welcomes such input</w:t>
      </w:r>
      <w:r>
        <w:t xml:space="preserve">. </w:t>
      </w:r>
      <w:r w:rsidR="005372C0">
        <w:t xml:space="preserve">(Simply parroting the conventional wisdom </w:t>
      </w:r>
      <w:r w:rsidR="009800E8">
        <w:t>wouldn’t constitute detailed analysis</w:t>
      </w:r>
      <w:r w:rsidR="005372C0">
        <w:t>.</w:t>
      </w:r>
      <w:r w:rsidR="008576C8">
        <w:t xml:space="preserve"> Neither would simply saying that you don’t agree with </w:t>
      </w:r>
      <w:r w:rsidR="008576C8" w:rsidRPr="008576C8">
        <w:rPr>
          <w:i/>
        </w:rPr>
        <w:t>MSCD</w:t>
      </w:r>
      <w:r w:rsidR="008576C8">
        <w:t>.</w:t>
      </w:r>
      <w:r w:rsidR="005372C0">
        <w:t>)</w:t>
      </w:r>
    </w:p>
    <w:p w:rsidR="00CE0140" w:rsidRDefault="00CE0140" w:rsidP="00DC582C">
      <w:pPr>
        <w:spacing w:after="200"/>
      </w:pPr>
      <w:r>
        <w:t xml:space="preserve">Some of the recommendations </w:t>
      </w:r>
      <w:r w:rsidR="005372C0">
        <w:t xml:space="preserve">in this statement of style or </w:t>
      </w:r>
      <w:r>
        <w:t xml:space="preserve">in </w:t>
      </w:r>
      <w:r w:rsidRPr="00A955C7">
        <w:rPr>
          <w:i/>
        </w:rPr>
        <w:t>MSCD</w:t>
      </w:r>
      <w:r>
        <w:t xml:space="preserve"> relate to usages that aren’t likely to result in any dispute</w:t>
      </w:r>
      <w:r w:rsidR="00A955C7">
        <w:t xml:space="preserve"> and </w:t>
      </w:r>
      <w:r w:rsidR="005372C0">
        <w:t xml:space="preserve">that </w:t>
      </w:r>
      <w:r w:rsidR="00A955C7">
        <w:t>may not even affect readability</w:t>
      </w:r>
      <w:r>
        <w:t>. We nevertheless ask that you comply with th</w:t>
      </w:r>
      <w:r w:rsidR="00A955C7">
        <w:t>ose recommendations</w:t>
      </w:r>
      <w:r w:rsidR="008576C8">
        <w:t xml:space="preserve">. </w:t>
      </w:r>
      <w:r w:rsidR="00701ED1">
        <w:t xml:space="preserve">Drafters make dozens, or hundreds, of choices regarding usages when drafting a contract, so minor decisions can have a big impact cumulatively. Furthermore, </w:t>
      </w:r>
      <w:r w:rsidR="00A955C7">
        <w:t>consistency is a worthwhile objective in itself.</w:t>
      </w:r>
    </w:p>
    <w:p w:rsidR="00A449D8" w:rsidRDefault="00A449D8" w:rsidP="00A449D8">
      <w:pPr>
        <w:spacing w:after="200"/>
      </w:pPr>
      <w:r>
        <w:t xml:space="preserve">No one will be looking over your shoulder to make sure that you comply with the style guide. But it does have the backing of our </w:t>
      </w:r>
      <w:r w:rsidR="005372C0">
        <w:t>[</w:t>
      </w:r>
      <w:r>
        <w:t>organization</w:t>
      </w:r>
      <w:r w:rsidR="005372C0">
        <w:t>]</w:t>
      </w:r>
      <w:r>
        <w:t xml:space="preserve">. If you deviate from it or, more particularly, if you insist that junior </w:t>
      </w:r>
      <w:r w:rsidR="00701ED1">
        <w:t>[</w:t>
      </w:r>
      <w:r>
        <w:t>lawyers</w:t>
      </w:r>
      <w:r w:rsidR="00701ED1">
        <w:t>] [contracts professionals]</w:t>
      </w:r>
      <w:r>
        <w:t xml:space="preserve"> deviate from it in drafting contracts on your behalf</w:t>
      </w:r>
      <w:r w:rsidR="005372C0">
        <w:t>, don’t be surprised if you’</w:t>
      </w:r>
      <w:r>
        <w:t>re asked to explain why.</w:t>
      </w:r>
    </w:p>
    <w:p w:rsidR="00A449D8" w:rsidRPr="005372C0" w:rsidRDefault="005372C0" w:rsidP="005372C0">
      <w:pPr>
        <w:keepNext/>
        <w:spacing w:after="200"/>
        <w:rPr>
          <w:b/>
          <w:i/>
        </w:rPr>
      </w:pPr>
      <w:r w:rsidRPr="005372C0">
        <w:rPr>
          <w:b/>
          <w:i/>
        </w:rPr>
        <w:t>Layout</w:t>
      </w:r>
    </w:p>
    <w:p w:rsidR="005372C0" w:rsidRDefault="002446DD" w:rsidP="00DC582C">
      <w:pPr>
        <w:spacing w:after="200"/>
      </w:pPr>
      <w:r>
        <w:t xml:space="preserve">We want </w:t>
      </w:r>
      <w:r w:rsidR="005372C0">
        <w:t>our contracts have a consistent look</w:t>
      </w:r>
      <w:r>
        <w:t xml:space="preserve">. And we don’t want our personnel fiddling unnecessarily with contract layout—how blocks of text are positioned on the page, and how they’re enumerated. So all contracts we draft should use the numbering scheme recommended in </w:t>
      </w:r>
      <w:r w:rsidRPr="003732B2">
        <w:rPr>
          <w:i/>
        </w:rPr>
        <w:t>MSCD</w:t>
      </w:r>
      <w:r>
        <w:t xml:space="preserve">, in either the “articles” or “sections” version. To facilitate that, we have installed on each of your computers The Numbering Assistant, a numbering utility that includes </w:t>
      </w:r>
      <w:r w:rsidR="004B58B6">
        <w:t xml:space="preserve">among the built-in schemes </w:t>
      </w:r>
      <w:r>
        <w:t xml:space="preserve">the two version of the </w:t>
      </w:r>
      <w:r w:rsidRPr="003732B2">
        <w:rPr>
          <w:i/>
        </w:rPr>
        <w:t>MSCD</w:t>
      </w:r>
      <w:r>
        <w:t xml:space="preserve"> numbering scheme.</w:t>
      </w:r>
    </w:p>
    <w:p w:rsidR="003732B2" w:rsidRDefault="009800E8" w:rsidP="00DC582C">
      <w:pPr>
        <w:spacing w:after="200"/>
      </w:pPr>
      <w:r>
        <w:t>T</w:t>
      </w:r>
      <w:r w:rsidR="002446DD">
        <w:t xml:space="preserve">he </w:t>
      </w:r>
      <w:r w:rsidR="002446DD" w:rsidRPr="003732B2">
        <w:rPr>
          <w:i/>
        </w:rPr>
        <w:t>MSCD</w:t>
      </w:r>
      <w:r w:rsidR="002446DD">
        <w:t xml:space="preserve"> scheme uses a Microsoft typeface called Calibri. Once you get used to Calibri, you</w:t>
      </w:r>
      <w:r w:rsidR="004B58B6">
        <w:t xml:space="preserve"> should </w:t>
      </w:r>
      <w:r w:rsidR="002446DD">
        <w:t>like it well enough. Typographers certainly regard it more favorably than Times New Roman or Arial. And on the technological front, it</w:t>
      </w:r>
      <w:r w:rsidR="003732B2">
        <w:t>’s a safe choice.</w:t>
      </w:r>
    </w:p>
    <w:p w:rsidR="003732B2" w:rsidRDefault="003732B2" w:rsidP="00DC582C">
      <w:pPr>
        <w:spacing w:after="200"/>
      </w:pPr>
      <w:r>
        <w:t xml:space="preserve">Using either version of the </w:t>
      </w:r>
      <w:r w:rsidRPr="003732B2">
        <w:rPr>
          <w:i/>
        </w:rPr>
        <w:t>MSCD</w:t>
      </w:r>
      <w:r>
        <w:t xml:space="preserve"> scheme also results in ragged-right text, rather than fully justified text. Typographers are unanimous that for purpose of word-processed documents, </w:t>
      </w:r>
      <w:r w:rsidR="00701ED1">
        <w:t xml:space="preserve">using </w:t>
      </w:r>
      <w:r>
        <w:t>ragged-right margins makes text easier to read.</w:t>
      </w:r>
    </w:p>
    <w:p w:rsidR="002446DD" w:rsidRDefault="003732B2" w:rsidP="00DC582C">
      <w:pPr>
        <w:spacing w:after="200"/>
      </w:pPr>
      <w:r>
        <w:t xml:space="preserve">For more information on these layout issues, see </w:t>
      </w:r>
      <w:r w:rsidRPr="003732B2">
        <w:rPr>
          <w:i/>
        </w:rPr>
        <w:t>MSCD</w:t>
      </w:r>
      <w:r>
        <w:t>.</w:t>
      </w:r>
    </w:p>
    <w:p w:rsidR="004B58B6" w:rsidRPr="003732B2" w:rsidRDefault="004B58B6" w:rsidP="004B58B6">
      <w:pPr>
        <w:keepNext/>
        <w:spacing w:after="200"/>
        <w:rPr>
          <w:b/>
          <w:i/>
        </w:rPr>
      </w:pPr>
      <w:r w:rsidRPr="004B58B6">
        <w:t>[</w:t>
      </w:r>
      <w:r w:rsidRPr="003732B2">
        <w:rPr>
          <w:b/>
          <w:i/>
        </w:rPr>
        <w:t xml:space="preserve">Drafting Guidelines </w:t>
      </w:r>
      <w:r>
        <w:rPr>
          <w:b/>
          <w:i/>
        </w:rPr>
        <w:t>and Outside Counsel</w:t>
      </w:r>
    </w:p>
    <w:p w:rsidR="004B58B6" w:rsidRDefault="004B58B6" w:rsidP="004B58B6">
      <w:pPr>
        <w:spacing w:after="200"/>
      </w:pPr>
      <w:r>
        <w:t xml:space="preserve">We can’t unilaterally impose our drafting guidelines on outside counsel. But </w:t>
      </w:r>
      <w:r w:rsidR="00517B0E">
        <w:t>over time we will favor those firms that make an effort to draft contracts that are consistent with our guidelines.]</w:t>
      </w:r>
    </w:p>
    <w:p w:rsidR="003732B2" w:rsidRPr="003732B2" w:rsidRDefault="003732B2" w:rsidP="004B58B6">
      <w:pPr>
        <w:keepNext/>
        <w:spacing w:after="200"/>
        <w:rPr>
          <w:b/>
          <w:i/>
        </w:rPr>
      </w:pPr>
      <w:r w:rsidRPr="003732B2">
        <w:rPr>
          <w:b/>
          <w:i/>
        </w:rPr>
        <w:lastRenderedPageBreak/>
        <w:t>Drafting Guidelines from the Perspective of the Reviewer</w:t>
      </w:r>
    </w:p>
    <w:p w:rsidR="003732B2" w:rsidRDefault="003732B2" w:rsidP="00DC582C">
      <w:pPr>
        <w:spacing w:after="200"/>
      </w:pPr>
      <w:r>
        <w:t xml:space="preserve">When you’re reviewing a draft submitted by the other side in a </w:t>
      </w:r>
      <w:r w:rsidR="004B58B6">
        <w:t>transaction</w:t>
      </w:r>
      <w:r>
        <w:t>, that’s not the time to administer drafting lessons. The other side probably wouldn</w:t>
      </w:r>
      <w:r w:rsidR="004B58B6">
        <w:t>’</w:t>
      </w:r>
      <w:r>
        <w:t xml:space="preserve">t respond favorably to </w:t>
      </w:r>
      <w:r w:rsidR="004B58B6">
        <w:t xml:space="preserve">a general critique of </w:t>
      </w:r>
      <w:r>
        <w:t xml:space="preserve">their use of </w:t>
      </w:r>
      <w:r w:rsidRPr="004B58B6">
        <w:rPr>
          <w:i/>
        </w:rPr>
        <w:t>shall</w:t>
      </w:r>
      <w:r>
        <w:t xml:space="preserve"> and their tolerance of archaisms.</w:t>
      </w:r>
    </w:p>
    <w:p w:rsidR="003732B2" w:rsidRDefault="003732B2" w:rsidP="00DC582C">
      <w:pPr>
        <w:spacing w:after="200"/>
      </w:pPr>
      <w:r>
        <w:t xml:space="preserve">But </w:t>
      </w:r>
      <w:r w:rsidRPr="003732B2">
        <w:rPr>
          <w:i/>
        </w:rPr>
        <w:t>MSCD</w:t>
      </w:r>
      <w:r>
        <w:t xml:space="preserve"> discusse</w:t>
      </w:r>
      <w:r w:rsidR="009800E8">
        <w:t>s</w:t>
      </w:r>
      <w:r>
        <w:t xml:space="preserve"> plenty of issues that could create confusion resulting in dispute—for example, whether a given provision is a condition or an obligation, or whether it exhibits syntactic ambiguity. Those are the kinds of issues to focus on</w:t>
      </w:r>
      <w:r w:rsidR="004B58B6">
        <w:t xml:space="preserve"> when reviewing a contract</w:t>
      </w:r>
      <w:r>
        <w:t>.</w:t>
      </w:r>
    </w:p>
    <w:p w:rsidR="003732B2" w:rsidRPr="003732B2" w:rsidRDefault="003732B2" w:rsidP="003732B2">
      <w:pPr>
        <w:keepNext/>
        <w:spacing w:after="200"/>
        <w:rPr>
          <w:b/>
          <w:i/>
        </w:rPr>
      </w:pPr>
      <w:r w:rsidRPr="003732B2">
        <w:rPr>
          <w:b/>
          <w:i/>
        </w:rPr>
        <w:t>Alerting the Other Side to Our Use of Drafting Guidelines</w:t>
      </w:r>
    </w:p>
    <w:p w:rsidR="003732B2" w:rsidRDefault="003732B2" w:rsidP="003732B2">
      <w:pPr>
        <w:spacing w:after="200"/>
      </w:pPr>
      <w:r>
        <w:t>Readers shouldn’t notice any jarring difference between a contract containing traditional usages and one drafted consistent with this statement of style</w:t>
      </w:r>
      <w:r w:rsidR="00701ED1">
        <w:t xml:space="preserve">. </w:t>
      </w:r>
      <w:r w:rsidRPr="003732B2">
        <w:rPr>
          <w:i/>
        </w:rPr>
        <w:t>MSCD</w:t>
      </w:r>
      <w:r>
        <w:t xml:space="preserve"> work</w:t>
      </w:r>
      <w:r w:rsidR="00701ED1">
        <w:t>s</w:t>
      </w:r>
      <w:r>
        <w:t xml:space="preserve"> within the prevailing idiom</w:t>
      </w:r>
      <w:r w:rsidR="002A46DF">
        <w:t>, and it’</w:t>
      </w:r>
      <w:r w:rsidR="00701ED1">
        <w:t>s in widespread use throughout the legal profession</w:t>
      </w:r>
      <w:r>
        <w:t>.</w:t>
      </w:r>
    </w:p>
    <w:p w:rsidR="003732B2" w:rsidRDefault="003732B2" w:rsidP="003732B2">
      <w:pPr>
        <w:spacing w:after="200"/>
      </w:pPr>
      <w:r>
        <w:t xml:space="preserve">But that said, on reviewing an </w:t>
      </w:r>
      <w:r w:rsidRPr="003732B2">
        <w:rPr>
          <w:i/>
          <w:iCs/>
        </w:rPr>
        <w:t>MSCD</w:t>
      </w:r>
      <w:r>
        <w:t xml:space="preserve">-compliant draft, </w:t>
      </w:r>
      <w:r w:rsidR="004B58B6">
        <w:t>anyone who’s a traditionalist m</w:t>
      </w:r>
      <w:r w:rsidR="009800E8">
        <w:t xml:space="preserve">ight </w:t>
      </w:r>
      <w:r>
        <w:t>seek to change the language back to what they’re used to.</w:t>
      </w:r>
      <w:r w:rsidR="005B638C">
        <w:t xml:space="preserve"> </w:t>
      </w:r>
      <w:r>
        <w:t xml:space="preserve">An obvious response would be to tell anyone requesting changes that you’re only going to consider changes that have a bearing on meaning, and that nothing would be gained by </w:t>
      </w:r>
      <w:r w:rsidR="009E0E93">
        <w:t xml:space="preserve">devoting </w:t>
      </w:r>
      <w:r>
        <w:t xml:space="preserve">lawyer time </w:t>
      </w:r>
      <w:r w:rsidR="004B58B6">
        <w:t xml:space="preserve">to </w:t>
      </w:r>
      <w:r>
        <w:t>discussing changes</w:t>
      </w:r>
      <w:r w:rsidR="009E0E93">
        <w:t xml:space="preserve"> that have no bearing on the deal terms</w:t>
      </w:r>
      <w:r>
        <w:t xml:space="preserve">. It’s standard deal etiquette that you </w:t>
      </w:r>
      <w:r w:rsidR="004B58B6">
        <w:t xml:space="preserve">should </w:t>
      </w:r>
      <w:r>
        <w:t>stick with the dra</w:t>
      </w:r>
      <w:r w:rsidR="009E0E93">
        <w:t xml:space="preserve">fter’s language unless you have </w:t>
      </w:r>
      <w:r>
        <w:t xml:space="preserve">good reason </w:t>
      </w:r>
      <w:r w:rsidR="004B58B6">
        <w:t xml:space="preserve">to ask </w:t>
      </w:r>
      <w:r>
        <w:t>for a change.</w:t>
      </w:r>
    </w:p>
    <w:p w:rsidR="003732B2" w:rsidRDefault="003732B2" w:rsidP="003732B2">
      <w:pPr>
        <w:spacing w:after="200"/>
      </w:pPr>
      <w:r>
        <w:t xml:space="preserve">But once the other side sends over their markup, it might be difficult simply to ignore extraneous changes, particularly if your </w:t>
      </w:r>
      <w:r w:rsidR="00701ED1">
        <w:t xml:space="preserve">side </w:t>
      </w:r>
      <w:r>
        <w:t xml:space="preserve">is </w:t>
      </w:r>
      <w:r w:rsidR="009E0E93">
        <w:t xml:space="preserve">eager </w:t>
      </w:r>
      <w:r>
        <w:t xml:space="preserve">to do the deal. So </w:t>
      </w:r>
      <w:r w:rsidR="009E0E93">
        <w:t xml:space="preserve">we recommend that you </w:t>
      </w:r>
      <w:r w:rsidR="005B638C">
        <w:t>include</w:t>
      </w:r>
      <w:r>
        <w:t xml:space="preserve"> the following in any email that accompanies your </w:t>
      </w:r>
      <w:r w:rsidR="009E0E93">
        <w:t xml:space="preserve">first </w:t>
      </w:r>
      <w:r>
        <w:t>draft of any contract:</w:t>
      </w:r>
    </w:p>
    <w:p w:rsidR="009E0E93" w:rsidRPr="009E0E93" w:rsidRDefault="005B638C" w:rsidP="009E0E93">
      <w:pPr>
        <w:tabs>
          <w:tab w:val="num" w:pos="720"/>
        </w:tabs>
        <w:spacing w:after="200"/>
        <w:ind w:left="720"/>
      </w:pPr>
      <w:r>
        <w:t>T</w:t>
      </w:r>
      <w:r w:rsidR="009E0E93" w:rsidRPr="009E0E93">
        <w:t>he language used in the attached</w:t>
      </w:r>
      <w:r w:rsidR="009E0E93">
        <w:t xml:space="preserve"> </w:t>
      </w:r>
      <w:r w:rsidR="009E0E93" w:rsidRPr="009E0E93">
        <w:t xml:space="preserve">draft complies with the recommendations contained in Kenneth A. Adams, </w:t>
      </w:r>
      <w:r w:rsidR="009E0E93" w:rsidRPr="009E0E93">
        <w:rPr>
          <w:i/>
          <w:iCs/>
        </w:rPr>
        <w:t>A Manual of Style for Contract Drafting</w:t>
      </w:r>
      <w:r w:rsidR="009E0E93" w:rsidRPr="009E0E93">
        <w:t xml:space="preserve"> (ABA </w:t>
      </w:r>
      <w:r>
        <w:t>3d ed. 2013</w:t>
      </w:r>
      <w:r w:rsidR="009E0E93" w:rsidRPr="009E0E93">
        <w:t>).</w:t>
      </w:r>
    </w:p>
    <w:p w:rsidR="009E0E93" w:rsidRPr="009E0E93" w:rsidRDefault="009E0E93" w:rsidP="009E0E93">
      <w:pPr>
        <w:tabs>
          <w:tab w:val="num" w:pos="720"/>
        </w:tabs>
        <w:spacing w:after="200"/>
        <w:ind w:left="720"/>
      </w:pPr>
      <w:r w:rsidRPr="009E0E93">
        <w:t>Th</w:t>
      </w:r>
      <w:r w:rsidR="002A46DF">
        <w:t>at</w:t>
      </w:r>
      <w:r w:rsidRPr="009E0E93">
        <w:t xml:space="preserve"> book </w:t>
      </w:r>
      <w:r w:rsidR="005B638C">
        <w:t xml:space="preserve">explains that </w:t>
      </w:r>
      <w:r w:rsidRPr="009E0E93">
        <w:t xml:space="preserve">many traditional drafting usages are inconsistent with clear, modern, and effective drafting, and it recommends alternatives. Consequently, you may find that some usages that you </w:t>
      </w:r>
      <w:r w:rsidR="005B638C">
        <w:t xml:space="preserve">use </w:t>
      </w:r>
      <w:r w:rsidRPr="009E0E93">
        <w:t>routinely in your contracts aren’t present in this draft.</w:t>
      </w:r>
    </w:p>
    <w:p w:rsidR="009E0E93" w:rsidRPr="009E0E93" w:rsidRDefault="009E0E93" w:rsidP="009E0E93">
      <w:pPr>
        <w:tabs>
          <w:tab w:val="num" w:pos="720"/>
        </w:tabs>
        <w:spacing w:after="200"/>
        <w:ind w:left="720"/>
      </w:pPr>
      <w:r w:rsidRPr="009E0E93">
        <w:t>Before you ask that any traditional usages be restored to this draft, please consider whether restoring them would change the meaning of any contract provisions or make them clearer. If it wouldn’t, making those changes would serve no purpose.</w:t>
      </w:r>
    </w:p>
    <w:p w:rsidR="005B638C" w:rsidRDefault="009E0E93" w:rsidP="009E0E93">
      <w:pPr>
        <w:tabs>
          <w:tab w:val="num" w:pos="720"/>
        </w:tabs>
        <w:spacing w:after="200"/>
        <w:ind w:left="720"/>
      </w:pPr>
      <w:r w:rsidRPr="009E0E93">
        <w:t xml:space="preserve">And please consult </w:t>
      </w:r>
      <w:r w:rsidRPr="009E0E93">
        <w:rPr>
          <w:i/>
          <w:iCs/>
        </w:rPr>
        <w:t>A Manual of Style for Contract Drafting</w:t>
      </w:r>
      <w:r w:rsidRPr="009E0E93">
        <w:t xml:space="preserve"> to see what it has to say about any usage that you seek to restore—it may be problematic in ways you hadn’t considered.</w:t>
      </w:r>
    </w:p>
    <w:p w:rsidR="009E0E93" w:rsidRPr="009E0E93" w:rsidRDefault="009E0E93" w:rsidP="009E0E93">
      <w:pPr>
        <w:tabs>
          <w:tab w:val="num" w:pos="720"/>
        </w:tabs>
        <w:spacing w:after="200"/>
        <w:ind w:left="720"/>
      </w:pPr>
      <w:r w:rsidRPr="009E0E93">
        <w:t xml:space="preserve">It’s in the interests of both sides not to spend time making, or even discussing, changes that have no bearing on the deal or that might </w:t>
      </w:r>
      <w:r w:rsidR="005B638C">
        <w:t xml:space="preserve">create </w:t>
      </w:r>
      <w:r w:rsidRPr="009E0E93">
        <w:t>confus</w:t>
      </w:r>
      <w:r w:rsidR="005B638C">
        <w:t>ion</w:t>
      </w:r>
      <w:r>
        <w:t>.</w:t>
      </w:r>
    </w:p>
    <w:p w:rsidR="003732B2" w:rsidRPr="009E0E93" w:rsidRDefault="009E0E93" w:rsidP="009E0E93">
      <w:pPr>
        <w:keepNext/>
        <w:spacing w:after="200"/>
        <w:rPr>
          <w:b/>
          <w:i/>
        </w:rPr>
      </w:pPr>
      <w:r w:rsidRPr="009E0E93">
        <w:rPr>
          <w:b/>
          <w:i/>
        </w:rPr>
        <w:t>Words and Phrases to Avoid</w:t>
      </w:r>
    </w:p>
    <w:p w:rsidR="009E0E93" w:rsidRDefault="002A46DF" w:rsidP="003732B2">
      <w:pPr>
        <w:spacing w:after="200"/>
      </w:pPr>
      <w:r>
        <w:t>T</w:t>
      </w:r>
      <w:r w:rsidR="000B7189">
        <w:t xml:space="preserve">he most straightforward </w:t>
      </w:r>
      <w:r w:rsidR="000B7189" w:rsidRPr="000B7189">
        <w:rPr>
          <w:i/>
          <w:iCs/>
        </w:rPr>
        <w:t>MSCD</w:t>
      </w:r>
      <w:r w:rsidR="000B7189">
        <w:t xml:space="preserve"> recommendations are those urging you </w:t>
      </w:r>
      <w:r w:rsidR="004B58B6">
        <w:t xml:space="preserve">not to use </w:t>
      </w:r>
      <w:r w:rsidR="000B7189">
        <w:t>a given word or phrase</w:t>
      </w:r>
      <w:r>
        <w:t xml:space="preserve"> because it’s confusing or wordy</w:t>
      </w:r>
      <w:r w:rsidR="000B7189">
        <w:t>. Here’s a partial list of words and phrases that should as a general matter be absent from your contracts:</w:t>
      </w:r>
    </w:p>
    <w:p w:rsidR="000B7189" w:rsidRDefault="000B7189" w:rsidP="003732B2">
      <w:pPr>
        <w:spacing w:after="200"/>
        <w:rPr>
          <w:rStyle w:val="Emphasis"/>
        </w:rPr>
        <w:sectPr w:rsidR="000B7189" w:rsidSect="009D4DCE">
          <w:footerReference w:type="even" r:id="rId8"/>
          <w:footerReference w:type="default" r:id="rId9"/>
          <w:headerReference w:type="first" r:id="rId10"/>
          <w:footerReference w:type="first" r:id="rId11"/>
          <w:pgSz w:w="12240" w:h="15840"/>
          <w:pgMar w:top="1440" w:right="1728" w:bottom="1440" w:left="1728" w:header="720" w:footer="720" w:gutter="0"/>
          <w:cols w:space="720"/>
          <w:titlePg/>
          <w:docGrid w:linePitch="360"/>
        </w:sectPr>
      </w:pPr>
    </w:p>
    <w:p w:rsidR="000B7189" w:rsidRDefault="000B7189" w:rsidP="00517B0E">
      <w:pPr>
        <w:spacing w:after="200"/>
        <w:rPr>
          <w:rStyle w:val="Emphasis"/>
        </w:rPr>
      </w:pPr>
      <w:r>
        <w:rPr>
          <w:rStyle w:val="Emphasis"/>
        </w:rPr>
        <w:lastRenderedPageBreak/>
        <w:t>at no time</w:t>
      </w:r>
      <w:r>
        <w:rPr>
          <w:i/>
          <w:iCs/>
        </w:rPr>
        <w:br/>
      </w:r>
      <w:r>
        <w:rPr>
          <w:rStyle w:val="Emphasis"/>
        </w:rPr>
        <w:t>best efforts</w:t>
      </w:r>
      <w:r>
        <w:rPr>
          <w:i/>
          <w:iCs/>
        </w:rPr>
        <w:br/>
      </w:r>
      <w:r>
        <w:rPr>
          <w:rStyle w:val="Emphasis"/>
        </w:rPr>
        <w:t>covenant</w:t>
      </w:r>
      <w:r>
        <w:rPr>
          <w:i/>
          <w:iCs/>
        </w:rPr>
        <w:br/>
      </w:r>
      <w:r w:rsidR="00C84219">
        <w:rPr>
          <w:rStyle w:val="Emphasis"/>
        </w:rPr>
        <w:t>formal, formally</w:t>
      </w:r>
      <w:r w:rsidR="00C84219">
        <w:rPr>
          <w:rStyle w:val="Emphasis"/>
        </w:rPr>
        <w:br/>
      </w:r>
      <w:r>
        <w:rPr>
          <w:rStyle w:val="Emphasis"/>
        </w:rPr>
        <w:t>for the avoidance of doubt</w:t>
      </w:r>
      <w:r>
        <w:rPr>
          <w:i/>
          <w:iCs/>
        </w:rPr>
        <w:br/>
      </w:r>
      <w:r w:rsidR="004515CD">
        <w:rPr>
          <w:rStyle w:val="Emphasis"/>
        </w:rPr>
        <w:t>form and substance</w:t>
      </w:r>
      <w:r w:rsidR="004515CD">
        <w:rPr>
          <w:rStyle w:val="Emphasis"/>
        </w:rPr>
        <w:br/>
      </w:r>
      <w:r>
        <w:rPr>
          <w:rStyle w:val="Emphasis"/>
        </w:rPr>
        <w:t>hereinafter referred to as</w:t>
      </w:r>
      <w:r>
        <w:rPr>
          <w:i/>
          <w:iCs/>
        </w:rPr>
        <w:br/>
      </w:r>
      <w:r>
        <w:rPr>
          <w:rStyle w:val="Emphasis"/>
        </w:rPr>
        <w:t>including but not limited to</w:t>
      </w:r>
      <w:r>
        <w:rPr>
          <w:i/>
          <w:iCs/>
        </w:rPr>
        <w:br/>
      </w:r>
      <w:r>
        <w:rPr>
          <w:rStyle w:val="Emphasis"/>
        </w:rPr>
        <w:t>including without limitation</w:t>
      </w:r>
      <w:r>
        <w:rPr>
          <w:i/>
          <w:iCs/>
        </w:rPr>
        <w:br/>
      </w:r>
      <w:r>
        <w:rPr>
          <w:rStyle w:val="Emphasis"/>
        </w:rPr>
        <w:t>in consideration of the foregoing</w:t>
      </w:r>
      <w:r>
        <w:rPr>
          <w:i/>
          <w:iCs/>
        </w:rPr>
        <w:br/>
      </w:r>
      <w:r>
        <w:rPr>
          <w:rStyle w:val="Emphasis"/>
        </w:rPr>
        <w:t>incorporated by reference</w:t>
      </w:r>
      <w:r>
        <w:rPr>
          <w:i/>
          <w:iCs/>
        </w:rPr>
        <w:br/>
      </w:r>
      <w:r>
        <w:rPr>
          <w:rStyle w:val="Emphasis"/>
        </w:rPr>
        <w:t>indemnify and hold harmless</w:t>
      </w:r>
      <w:r>
        <w:rPr>
          <w:i/>
          <w:iCs/>
        </w:rPr>
        <w:br/>
      </w:r>
      <w:r>
        <w:rPr>
          <w:rStyle w:val="Emphasis"/>
        </w:rPr>
        <w:t>in lieu of</w:t>
      </w:r>
      <w:r>
        <w:rPr>
          <w:i/>
          <w:iCs/>
        </w:rPr>
        <w:br/>
      </w:r>
      <w:r>
        <w:rPr>
          <w:rStyle w:val="Emphasis"/>
        </w:rPr>
        <w:t>intending to be legally bound</w:t>
      </w:r>
      <w:r>
        <w:t xml:space="preserve"> (but see </w:t>
      </w:r>
      <w:r>
        <w:rPr>
          <w:rStyle w:val="Emphasis"/>
        </w:rPr>
        <w:t>MSCD</w:t>
      </w:r>
      <w:r>
        <w:t xml:space="preserve"> </w:t>
      </w:r>
      <w:r w:rsidR="00125419">
        <w:t>2.156</w:t>
      </w:r>
      <w:r>
        <w:t>)</w:t>
      </w:r>
      <w:r>
        <w:br/>
      </w:r>
      <w:r>
        <w:rPr>
          <w:rStyle w:val="Emphasis"/>
        </w:rPr>
        <w:t>in the event of</w:t>
      </w:r>
      <w:r>
        <w:rPr>
          <w:i/>
          <w:iCs/>
        </w:rPr>
        <w:br/>
      </w:r>
      <w:r>
        <w:rPr>
          <w:rStyle w:val="Emphasis"/>
        </w:rPr>
        <w:t>in witness whereof</w:t>
      </w:r>
      <w:r>
        <w:rPr>
          <w:i/>
          <w:iCs/>
        </w:rPr>
        <w:br/>
      </w:r>
      <w:r>
        <w:rPr>
          <w:rStyle w:val="Emphasis"/>
        </w:rPr>
        <w:t>it being understood</w:t>
      </w:r>
      <w:r>
        <w:rPr>
          <w:i/>
          <w:iCs/>
        </w:rPr>
        <w:br/>
      </w:r>
      <w:r>
        <w:t>Latinisms</w:t>
      </w:r>
      <w:r>
        <w:br/>
      </w:r>
      <w:r>
        <w:rPr>
          <w:rStyle w:val="Emphasis"/>
        </w:rPr>
        <w:t>may at its sole discretion</w:t>
      </w:r>
      <w:r>
        <w:rPr>
          <w:i/>
          <w:iCs/>
        </w:rPr>
        <w:br/>
      </w:r>
      <w:r>
        <w:rPr>
          <w:rStyle w:val="Emphasis"/>
        </w:rPr>
        <w:t>moral turpitude</w:t>
      </w:r>
      <w:r>
        <w:rPr>
          <w:i/>
          <w:iCs/>
        </w:rPr>
        <w:br/>
      </w:r>
      <w:r>
        <w:rPr>
          <w:rStyle w:val="Emphasis"/>
        </w:rPr>
        <w:t>notwithstanding</w:t>
      </w:r>
      <w:r>
        <w:rPr>
          <w:i/>
          <w:iCs/>
        </w:rPr>
        <w:br/>
      </w:r>
      <w:r>
        <w:rPr>
          <w:rStyle w:val="Emphasis"/>
        </w:rPr>
        <w:t>now therefore</w:t>
      </w:r>
      <w:r>
        <w:rPr>
          <w:i/>
          <w:iCs/>
        </w:rPr>
        <w:br/>
      </w:r>
      <w:r>
        <w:rPr>
          <w:rStyle w:val="Emphasis"/>
        </w:rPr>
        <w:t>of any kind</w:t>
      </w:r>
      <w:r>
        <w:rPr>
          <w:i/>
          <w:iCs/>
        </w:rPr>
        <w:br/>
      </w:r>
      <w:r>
        <w:rPr>
          <w:rStyle w:val="Emphasis"/>
        </w:rPr>
        <w:t>prior to</w:t>
      </w:r>
      <w:r>
        <w:rPr>
          <w:i/>
          <w:iCs/>
        </w:rPr>
        <w:br/>
      </w:r>
      <w:r>
        <w:rPr>
          <w:rStyle w:val="Emphasis"/>
        </w:rPr>
        <w:t>provided, however, that</w:t>
      </w:r>
      <w:r>
        <w:rPr>
          <w:i/>
          <w:iCs/>
        </w:rPr>
        <w:br/>
      </w:r>
      <w:r>
        <w:rPr>
          <w:rStyle w:val="Emphasis"/>
        </w:rPr>
        <w:t>provided that</w:t>
      </w:r>
      <w:r>
        <w:rPr>
          <w:i/>
          <w:iCs/>
        </w:rPr>
        <w:br/>
      </w:r>
      <w:r>
        <w:rPr>
          <w:rStyle w:val="Emphasis"/>
        </w:rPr>
        <w:t>pursuant to</w:t>
      </w:r>
      <w:r w:rsidR="004515CD">
        <w:rPr>
          <w:rStyle w:val="Emphasis"/>
        </w:rPr>
        <w:br/>
      </w:r>
      <w:r w:rsidR="004515CD">
        <w:rPr>
          <w:rStyle w:val="Emphasis"/>
        </w:rPr>
        <w:lastRenderedPageBreak/>
        <w:t>remit, remittance</w:t>
      </w:r>
      <w:r>
        <w:rPr>
          <w:i/>
          <w:iCs/>
        </w:rPr>
        <w:br/>
      </w:r>
      <w:r>
        <w:rPr>
          <w:rStyle w:val="Emphasis"/>
        </w:rPr>
        <w:t>represents and warrants</w:t>
      </w:r>
      <w:r>
        <w:rPr>
          <w:i/>
          <w:iCs/>
        </w:rPr>
        <w:br/>
      </w:r>
      <w:r>
        <w:rPr>
          <w:rStyle w:val="Emphasis"/>
        </w:rPr>
        <w:t>reserves the right to</w:t>
      </w:r>
      <w:r>
        <w:rPr>
          <w:i/>
          <w:iCs/>
        </w:rPr>
        <w:br/>
      </w:r>
      <w:r>
        <w:rPr>
          <w:rStyle w:val="Emphasis"/>
        </w:rPr>
        <w:t>(s)</w:t>
      </w:r>
      <w:r>
        <w:t xml:space="preserve"> (at the end of a noun)</w:t>
      </w:r>
      <w:r>
        <w:br/>
      </w:r>
      <w:r>
        <w:rPr>
          <w:rStyle w:val="Emphasis"/>
        </w:rPr>
        <w:t>said</w:t>
      </w:r>
      <w:r>
        <w:rPr>
          <w:i/>
          <w:iCs/>
        </w:rPr>
        <w:br/>
      </w:r>
      <w:r>
        <w:rPr>
          <w:rStyle w:val="Emphasis"/>
        </w:rPr>
        <w:t>same</w:t>
      </w:r>
      <w:r>
        <w:t xml:space="preserve"> (used as a pronoun)</w:t>
      </w:r>
      <w:r>
        <w:br/>
      </w:r>
      <w:r>
        <w:rPr>
          <w:rStyle w:val="Emphasis"/>
        </w:rPr>
        <w:t>set forth in</w:t>
      </w:r>
      <w:r>
        <w:rPr>
          <w:i/>
          <w:iCs/>
        </w:rPr>
        <w:br/>
      </w:r>
      <w:r>
        <w:rPr>
          <w:rStyle w:val="Emphasis"/>
        </w:rPr>
        <w:t>shall be</w:t>
      </w:r>
      <w:r>
        <w:rPr>
          <w:i/>
          <w:iCs/>
        </w:rPr>
        <w:br/>
      </w:r>
      <w:r>
        <w:rPr>
          <w:rStyle w:val="Emphasis"/>
        </w:rPr>
        <w:t>shall have the right to</w:t>
      </w:r>
      <w:r>
        <w:rPr>
          <w:i/>
          <w:iCs/>
        </w:rPr>
        <w:br/>
      </w:r>
      <w:r w:rsidR="004515CD">
        <w:rPr>
          <w:rStyle w:val="Emphasis"/>
        </w:rPr>
        <w:t>sole and exclusive</w:t>
      </w:r>
      <w:r w:rsidR="004515CD">
        <w:rPr>
          <w:rStyle w:val="Emphasis"/>
        </w:rPr>
        <w:br/>
      </w:r>
      <w:r>
        <w:rPr>
          <w:rStyle w:val="Emphasis"/>
        </w:rPr>
        <w:t>such as</w:t>
      </w:r>
      <w:r>
        <w:rPr>
          <w:i/>
          <w:iCs/>
        </w:rPr>
        <w:br/>
      </w:r>
      <w:r>
        <w:rPr>
          <w:rStyle w:val="Emphasis"/>
        </w:rPr>
        <w:t>such</w:t>
      </w:r>
      <w:r>
        <w:t xml:space="preserve"> (used as a pointing word)</w:t>
      </w:r>
      <w:r>
        <w:br/>
      </w:r>
      <w:r>
        <w:rPr>
          <w:rStyle w:val="Emphasis"/>
        </w:rPr>
        <w:t>subsection</w:t>
      </w:r>
      <w:r>
        <w:rPr>
          <w:i/>
          <w:iCs/>
        </w:rPr>
        <w:br/>
      </w:r>
      <w:r>
        <w:rPr>
          <w:rStyle w:val="Emphasis"/>
        </w:rPr>
        <w:t>termination or expiration</w:t>
      </w:r>
      <w:r>
        <w:rPr>
          <w:i/>
          <w:iCs/>
        </w:rPr>
        <w:br/>
      </w:r>
      <w:r>
        <w:rPr>
          <w:rStyle w:val="Emphasis"/>
        </w:rPr>
        <w:t>terms and conditions</w:t>
      </w:r>
      <w:r>
        <w:rPr>
          <w:i/>
          <w:iCs/>
        </w:rPr>
        <w:br/>
      </w:r>
      <w:r>
        <w:rPr>
          <w:rStyle w:val="Emphasis"/>
        </w:rPr>
        <w:t>that certain</w:t>
      </w:r>
      <w:r>
        <w:rPr>
          <w:i/>
          <w:iCs/>
        </w:rPr>
        <w:br/>
      </w:r>
      <w:r>
        <w:rPr>
          <w:rStyle w:val="Emphasis"/>
        </w:rPr>
        <w:t>third party</w:t>
      </w:r>
      <w:r>
        <w:rPr>
          <w:i/>
          <w:iCs/>
        </w:rPr>
        <w:br/>
      </w:r>
      <w:r>
        <w:rPr>
          <w:rStyle w:val="Emphasis"/>
        </w:rPr>
        <w:t>true and correct</w:t>
      </w:r>
      <w:r>
        <w:rPr>
          <w:i/>
          <w:iCs/>
        </w:rPr>
        <w:br/>
      </w:r>
      <w:r>
        <w:rPr>
          <w:rStyle w:val="Emphasis"/>
        </w:rPr>
        <w:t>under no circumstances</w:t>
      </w:r>
      <w:r>
        <w:rPr>
          <w:i/>
          <w:iCs/>
        </w:rPr>
        <w:br/>
      </w:r>
      <w:r>
        <w:rPr>
          <w:rStyle w:val="Emphasis"/>
        </w:rPr>
        <w:t>unless the context requires otherwise</w:t>
      </w:r>
      <w:r>
        <w:rPr>
          <w:i/>
          <w:iCs/>
        </w:rPr>
        <w:br/>
      </w:r>
      <w:r>
        <w:rPr>
          <w:rStyle w:val="Emphasis"/>
        </w:rPr>
        <w:t>until such time as</w:t>
      </w:r>
      <w:r>
        <w:rPr>
          <w:i/>
          <w:iCs/>
        </w:rPr>
        <w:br/>
      </w:r>
      <w:r>
        <w:rPr>
          <w:rStyle w:val="Emphasis"/>
        </w:rPr>
        <w:t>whatsoever</w:t>
      </w:r>
      <w:r>
        <w:rPr>
          <w:i/>
          <w:iCs/>
        </w:rPr>
        <w:br/>
      </w:r>
      <w:r>
        <w:rPr>
          <w:rStyle w:val="Emphasis"/>
        </w:rPr>
        <w:t>whereas</w:t>
      </w:r>
      <w:r>
        <w:rPr>
          <w:i/>
          <w:iCs/>
        </w:rPr>
        <w:br/>
      </w:r>
      <w:r>
        <w:rPr>
          <w:rStyle w:val="Emphasis"/>
        </w:rPr>
        <w:t>willful</w:t>
      </w:r>
      <w:r>
        <w:rPr>
          <w:i/>
          <w:iCs/>
        </w:rPr>
        <w:br/>
      </w:r>
      <w:r>
        <w:rPr>
          <w:rStyle w:val="Emphasis"/>
        </w:rPr>
        <w:t>without limiting the generality of the foregoing</w:t>
      </w:r>
      <w:r>
        <w:rPr>
          <w:i/>
          <w:iCs/>
        </w:rPr>
        <w:br/>
      </w:r>
      <w:r>
        <w:rPr>
          <w:rStyle w:val="Emphasis"/>
        </w:rPr>
        <w:t>witnesseth</w:t>
      </w:r>
    </w:p>
    <w:p w:rsidR="006A1ED0" w:rsidRDefault="006A1ED0" w:rsidP="000B7189">
      <w:pPr>
        <w:keepNext/>
        <w:spacing w:after="200"/>
        <w:rPr>
          <w:b/>
          <w:i/>
        </w:rPr>
        <w:sectPr w:rsidR="006A1ED0" w:rsidSect="006A1ED0">
          <w:type w:val="continuous"/>
          <w:pgSz w:w="12240" w:h="15840"/>
          <w:pgMar w:top="1440" w:right="1800" w:bottom="1440" w:left="1800" w:header="720" w:footer="720" w:gutter="0"/>
          <w:cols w:num="2" w:space="720"/>
          <w:docGrid w:linePitch="360"/>
        </w:sectPr>
      </w:pPr>
    </w:p>
    <w:p w:rsidR="00CC3D4B" w:rsidRDefault="00CC3D4B" w:rsidP="00CC3D4B">
      <w:pPr>
        <w:keepNext/>
        <w:spacing w:before="480" w:after="200"/>
        <w:rPr>
          <w:b/>
          <w:i/>
        </w:rPr>
      </w:pPr>
      <w:r>
        <w:rPr>
          <w:b/>
          <w:i/>
        </w:rPr>
        <w:lastRenderedPageBreak/>
        <w:t>Drafting Corporate Resolutions</w:t>
      </w:r>
    </w:p>
    <w:p w:rsidR="00CC3D4B" w:rsidRPr="00CC3D4B" w:rsidRDefault="00CC3D4B" w:rsidP="00CC3D4B">
      <w:pPr>
        <w:spacing w:after="200"/>
      </w:pPr>
      <w:r>
        <w:t xml:space="preserve">Related to drafting contracts is the drafting </w:t>
      </w:r>
      <w:r w:rsidR="005B638C">
        <w:t xml:space="preserve">of </w:t>
      </w:r>
      <w:r>
        <w:t>corporate resolutions. The traditional language of corporate resolutions is if anything more problematic than the traditional language of contracts</w:t>
      </w:r>
      <w:r w:rsidR="005B638C">
        <w:t xml:space="preserve">. That’s why </w:t>
      </w:r>
      <w:r w:rsidRPr="00CC3D4B">
        <w:rPr>
          <w:i/>
        </w:rPr>
        <w:t>MSCD</w:t>
      </w:r>
      <w:r>
        <w:t xml:space="preserve"> </w:t>
      </w:r>
      <w:r w:rsidR="005B638C">
        <w:t xml:space="preserve">proposes </w:t>
      </w:r>
      <w:r>
        <w:t>a major overhaul</w:t>
      </w:r>
      <w:r w:rsidR="005B638C">
        <w:t xml:space="preserve"> of the language of corporate resolutions</w:t>
      </w:r>
      <w:r>
        <w:t xml:space="preserve">. </w:t>
      </w:r>
      <w:r w:rsidR="002A46DF">
        <w:t xml:space="preserve">[In drafting </w:t>
      </w:r>
      <w:r w:rsidR="008E7EBE">
        <w:t xml:space="preserve">corporate </w:t>
      </w:r>
      <w:r w:rsidR="002A46DF">
        <w:t>resolutions for [</w:t>
      </w:r>
      <w:r w:rsidR="008E7EBE">
        <w:t>organization</w:t>
      </w:r>
      <w:r w:rsidR="002A46DF">
        <w:t xml:space="preserve">] and its affiliate, use the approach recommended in </w:t>
      </w:r>
      <w:r w:rsidR="002A46DF" w:rsidRPr="008E7EBE">
        <w:rPr>
          <w:i/>
        </w:rPr>
        <w:t>MSCD</w:t>
      </w:r>
      <w:r w:rsidR="002A46DF">
        <w:t>.]</w:t>
      </w:r>
    </w:p>
    <w:p w:rsidR="000B7189" w:rsidRPr="000B7189" w:rsidRDefault="006A1ED0" w:rsidP="00CC3D4B">
      <w:pPr>
        <w:keepNext/>
        <w:spacing w:after="200"/>
        <w:rPr>
          <w:b/>
          <w:i/>
        </w:rPr>
      </w:pPr>
      <w:r>
        <w:rPr>
          <w:b/>
          <w:i/>
        </w:rPr>
        <w:t>Transition</w:t>
      </w:r>
    </w:p>
    <w:p w:rsidR="000B7189" w:rsidRDefault="006A1ED0" w:rsidP="003732B2">
      <w:pPr>
        <w:spacing w:after="200"/>
      </w:pPr>
      <w:r>
        <w:t xml:space="preserve">Each </w:t>
      </w:r>
      <w:r w:rsidR="008E7EBE">
        <w:t>[</w:t>
      </w:r>
      <w:r>
        <w:t>lawyer</w:t>
      </w:r>
      <w:r w:rsidR="008E7EBE">
        <w:t>] [contracts professional]</w:t>
      </w:r>
      <w:r>
        <w:t xml:space="preserve"> in our [organization] will be supplied with a copy of </w:t>
      </w:r>
      <w:r w:rsidRPr="006A1ED0">
        <w:rPr>
          <w:i/>
        </w:rPr>
        <w:t>MSCD</w:t>
      </w:r>
      <w:r>
        <w:t>, and we will make available additional training. But we recognize that the transition to a new approach to contract language won’t be quick or easy. For one thing, all our precedent contracts use traditional language.</w:t>
      </w:r>
    </w:p>
    <w:p w:rsidR="006A1ED0" w:rsidRDefault="006A1ED0" w:rsidP="003732B2">
      <w:pPr>
        <w:spacing w:after="200"/>
      </w:pPr>
      <w:r>
        <w:t>But slow change is still change, and it’s preferable to sticking with the current inefficiencies and incoherence. And we’ll</w:t>
      </w:r>
      <w:r w:rsidR="00741A12">
        <w:t xml:space="preserve"> soon start reaping the rewards.</w:t>
      </w:r>
    </w:p>
    <w:p w:rsidR="00741A12" w:rsidRDefault="00741A12" w:rsidP="004515CD">
      <w:pPr>
        <w:keepNext/>
        <w:spacing w:after="200"/>
      </w:pPr>
      <w:r>
        <w:lastRenderedPageBreak/>
        <w:t xml:space="preserve">We’ll be monitoring the transition. If you have any questions or comments, please contact </w:t>
      </w:r>
      <w:r w:rsidR="009800E8">
        <w:t>me</w:t>
      </w:r>
      <w:r>
        <w:t>.</w:t>
      </w:r>
    </w:p>
    <w:p w:rsidR="009800E8" w:rsidRDefault="009800E8" w:rsidP="009800E8">
      <w:pPr>
        <w:spacing w:before="600" w:after="200"/>
        <w:ind w:left="4320"/>
      </w:pPr>
      <w:r>
        <w:t>[Name]</w:t>
      </w:r>
      <w:r>
        <w:br/>
        <w:t>[Title]</w:t>
      </w:r>
    </w:p>
    <w:sectPr w:rsidR="009800E8" w:rsidSect="009D4DCE">
      <w:type w:val="continuous"/>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487" w:rsidRDefault="00B63487">
      <w:r>
        <w:separator/>
      </w:r>
    </w:p>
  </w:endnote>
  <w:endnote w:type="continuationSeparator" w:id="0">
    <w:p w:rsidR="00B63487" w:rsidRDefault="00B6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7A" w:rsidRDefault="006B23D5" w:rsidP="002E7B6A">
    <w:pPr>
      <w:pStyle w:val="Footer"/>
      <w:framePr w:wrap="around" w:vAnchor="text" w:hAnchor="margin" w:xAlign="center" w:y="1"/>
      <w:rPr>
        <w:rStyle w:val="PageNumber"/>
      </w:rPr>
    </w:pPr>
    <w:r>
      <w:rPr>
        <w:rStyle w:val="PageNumber"/>
      </w:rPr>
      <w:fldChar w:fldCharType="begin"/>
    </w:r>
    <w:r w:rsidR="008D417A">
      <w:rPr>
        <w:rStyle w:val="PageNumber"/>
      </w:rPr>
      <w:instrText xml:space="preserve">PAGE  </w:instrText>
    </w:r>
    <w:r>
      <w:rPr>
        <w:rStyle w:val="PageNumber"/>
      </w:rPr>
      <w:fldChar w:fldCharType="end"/>
    </w:r>
  </w:p>
  <w:p w:rsidR="008D417A" w:rsidRDefault="008D41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7A" w:rsidRDefault="006B23D5" w:rsidP="002E7B6A">
    <w:pPr>
      <w:pStyle w:val="Footer"/>
      <w:framePr w:wrap="around" w:vAnchor="text" w:hAnchor="margin" w:xAlign="center" w:y="1"/>
      <w:rPr>
        <w:rStyle w:val="PageNumber"/>
      </w:rPr>
    </w:pPr>
    <w:r>
      <w:rPr>
        <w:rStyle w:val="PageNumber"/>
      </w:rPr>
      <w:fldChar w:fldCharType="begin"/>
    </w:r>
    <w:r w:rsidR="008D417A">
      <w:rPr>
        <w:rStyle w:val="PageNumber"/>
      </w:rPr>
      <w:instrText xml:space="preserve">PAGE  </w:instrText>
    </w:r>
    <w:r>
      <w:rPr>
        <w:rStyle w:val="PageNumber"/>
      </w:rPr>
      <w:fldChar w:fldCharType="separate"/>
    </w:r>
    <w:r w:rsidR="00125419">
      <w:rPr>
        <w:rStyle w:val="PageNumber"/>
        <w:noProof/>
      </w:rPr>
      <w:t>2</w:t>
    </w:r>
    <w:r>
      <w:rPr>
        <w:rStyle w:val="PageNumber"/>
      </w:rPr>
      <w:fldChar w:fldCharType="end"/>
    </w:r>
  </w:p>
  <w:p w:rsidR="008D417A" w:rsidRPr="00517B0E" w:rsidRDefault="00781CF0">
    <w:pPr>
      <w:pStyle w:val="Footer"/>
      <w:rPr>
        <w:sz w:val="20"/>
        <w:szCs w:val="20"/>
      </w:rPr>
    </w:pPr>
    <w:r w:rsidRPr="00781CF0">
      <w:rPr>
        <w:i/>
        <w:sz w:val="20"/>
        <w:szCs w:val="20"/>
      </w:rPr>
      <w:t>Model Statement of Style for Contract Drafting</w:t>
    </w:r>
    <w:r w:rsidR="008D417A" w:rsidRPr="00781CF0">
      <w:rPr>
        <w:sz w:val="20"/>
        <w:szCs w:val="20"/>
      </w:rPr>
      <w:tab/>
    </w:r>
    <w:r w:rsidR="008D417A" w:rsidRPr="00781CF0">
      <w:rPr>
        <w:sz w:val="20"/>
        <w:szCs w:val="20"/>
      </w:rPr>
      <w:tab/>
    </w:r>
    <w:r w:rsidR="009D4DCE">
      <w:rPr>
        <w:sz w:val="20"/>
        <w:szCs w:val="20"/>
      </w:rPr>
      <w:t xml:space="preserve">© Kenneth A. </w:t>
    </w:r>
    <w:r w:rsidR="00125419">
      <w:rPr>
        <w:sz w:val="20"/>
        <w:szCs w:val="20"/>
      </w:rPr>
      <w:t>Adams 2013</w:t>
    </w:r>
    <w:r>
      <w:rPr>
        <w:sz w:val="20"/>
        <w:szCs w:val="20"/>
      </w:rPr>
      <w:br/>
    </w:r>
    <w:r w:rsidRPr="00517B0E">
      <w:rPr>
        <w:i/>
        <w:sz w:val="20"/>
        <w:szCs w:val="20"/>
      </w:rPr>
      <w:t xml:space="preserve">Version of </w:t>
    </w:r>
    <w:r w:rsidR="00125419">
      <w:rPr>
        <w:i/>
        <w:sz w:val="20"/>
        <w:szCs w:val="20"/>
      </w:rPr>
      <w:t>February 23, 2013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17A" w:rsidRDefault="00781CF0">
    <w:pPr>
      <w:pStyle w:val="Footer"/>
    </w:pPr>
    <w:r w:rsidRPr="00781CF0">
      <w:rPr>
        <w:i/>
        <w:sz w:val="20"/>
        <w:szCs w:val="20"/>
      </w:rPr>
      <w:t>Model Statement of Style for Contract Drafting</w:t>
    </w:r>
    <w:r w:rsidR="008D417A" w:rsidRPr="00781CF0">
      <w:rPr>
        <w:sz w:val="20"/>
        <w:szCs w:val="20"/>
      </w:rPr>
      <w:tab/>
    </w:r>
    <w:r w:rsidR="008D417A" w:rsidRPr="00781CF0">
      <w:rPr>
        <w:sz w:val="20"/>
        <w:szCs w:val="20"/>
      </w:rPr>
      <w:tab/>
    </w:r>
    <w:r w:rsidR="009D4DCE">
      <w:rPr>
        <w:sz w:val="20"/>
        <w:szCs w:val="20"/>
      </w:rPr>
      <w:t xml:space="preserve">© Kenneth A. </w:t>
    </w:r>
    <w:r w:rsidR="00125419">
      <w:rPr>
        <w:sz w:val="20"/>
        <w:szCs w:val="20"/>
      </w:rPr>
      <w:t>Adams 2013</w:t>
    </w:r>
    <w:r>
      <w:rPr>
        <w:sz w:val="20"/>
        <w:szCs w:val="20"/>
      </w:rPr>
      <w:br/>
    </w:r>
    <w:r w:rsidRPr="00517B0E">
      <w:rPr>
        <w:i/>
        <w:sz w:val="20"/>
        <w:szCs w:val="20"/>
      </w:rPr>
      <w:t xml:space="preserve">Version of </w:t>
    </w:r>
    <w:r w:rsidR="00125419">
      <w:rPr>
        <w:i/>
        <w:sz w:val="20"/>
        <w:szCs w:val="20"/>
      </w:rPr>
      <w:t>February 23,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487" w:rsidRDefault="00B63487">
      <w:r>
        <w:separator/>
      </w:r>
    </w:p>
  </w:footnote>
  <w:footnote w:type="continuationSeparator" w:id="0">
    <w:p w:rsidR="00B63487" w:rsidRDefault="00B63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DCE" w:rsidRDefault="00125419">
    <w:pPr>
      <w:pStyle w:val="Header"/>
    </w:pPr>
    <w:r>
      <w:rPr>
        <w:noProof/>
      </w:rPr>
      <w:drawing>
        <wp:inline distT="0" distB="0" distL="0" distR="0" wp14:anchorId="5E3D4A48" wp14:editId="705784B6">
          <wp:extent cx="1219200" cy="528320"/>
          <wp:effectExtent l="0" t="0" r="0" b="5080"/>
          <wp:docPr id="1" name="Picture 1" descr="C:\Users\Ken\AppData\Local\Microsoft\Windows\Temporary Internet Files\Content.Outlook\4W77Y12R\adamsdrafting_logo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AppData\Local\Microsoft\Windows\Temporary Internet Files\Content.Outlook\4W77Y12R\adamsdrafting_logo_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283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2041B"/>
    <w:multiLevelType w:val="hybridMultilevel"/>
    <w:tmpl w:val="65D046D8"/>
    <w:lvl w:ilvl="0" w:tplc="55F29980">
      <w:start w:val="1"/>
      <w:numFmt w:val="bullet"/>
      <w:lvlText w:val="•"/>
      <w:lvlJc w:val="left"/>
      <w:pPr>
        <w:tabs>
          <w:tab w:val="num" w:pos="720"/>
        </w:tabs>
        <w:ind w:left="720" w:hanging="360"/>
      </w:pPr>
      <w:rPr>
        <w:rFonts w:ascii="Calibri" w:hAnsi="Calibri" w:hint="default"/>
      </w:rPr>
    </w:lvl>
    <w:lvl w:ilvl="1" w:tplc="4718EEE4" w:tentative="1">
      <w:start w:val="1"/>
      <w:numFmt w:val="bullet"/>
      <w:lvlText w:val="•"/>
      <w:lvlJc w:val="left"/>
      <w:pPr>
        <w:tabs>
          <w:tab w:val="num" w:pos="1440"/>
        </w:tabs>
        <w:ind w:left="1440" w:hanging="360"/>
      </w:pPr>
      <w:rPr>
        <w:rFonts w:ascii="Calibri" w:hAnsi="Calibri" w:hint="default"/>
      </w:rPr>
    </w:lvl>
    <w:lvl w:ilvl="2" w:tplc="6ABAB846" w:tentative="1">
      <w:start w:val="1"/>
      <w:numFmt w:val="bullet"/>
      <w:lvlText w:val="•"/>
      <w:lvlJc w:val="left"/>
      <w:pPr>
        <w:tabs>
          <w:tab w:val="num" w:pos="2160"/>
        </w:tabs>
        <w:ind w:left="2160" w:hanging="360"/>
      </w:pPr>
      <w:rPr>
        <w:rFonts w:ascii="Calibri" w:hAnsi="Calibri" w:hint="default"/>
      </w:rPr>
    </w:lvl>
    <w:lvl w:ilvl="3" w:tplc="083E7A30" w:tentative="1">
      <w:start w:val="1"/>
      <w:numFmt w:val="bullet"/>
      <w:lvlText w:val="•"/>
      <w:lvlJc w:val="left"/>
      <w:pPr>
        <w:tabs>
          <w:tab w:val="num" w:pos="2880"/>
        </w:tabs>
        <w:ind w:left="2880" w:hanging="360"/>
      </w:pPr>
      <w:rPr>
        <w:rFonts w:ascii="Calibri" w:hAnsi="Calibri" w:hint="default"/>
      </w:rPr>
    </w:lvl>
    <w:lvl w:ilvl="4" w:tplc="F556658A" w:tentative="1">
      <w:start w:val="1"/>
      <w:numFmt w:val="bullet"/>
      <w:lvlText w:val="•"/>
      <w:lvlJc w:val="left"/>
      <w:pPr>
        <w:tabs>
          <w:tab w:val="num" w:pos="3600"/>
        </w:tabs>
        <w:ind w:left="3600" w:hanging="360"/>
      </w:pPr>
      <w:rPr>
        <w:rFonts w:ascii="Calibri" w:hAnsi="Calibri" w:hint="default"/>
      </w:rPr>
    </w:lvl>
    <w:lvl w:ilvl="5" w:tplc="BDBECAF4" w:tentative="1">
      <w:start w:val="1"/>
      <w:numFmt w:val="bullet"/>
      <w:lvlText w:val="•"/>
      <w:lvlJc w:val="left"/>
      <w:pPr>
        <w:tabs>
          <w:tab w:val="num" w:pos="4320"/>
        </w:tabs>
        <w:ind w:left="4320" w:hanging="360"/>
      </w:pPr>
      <w:rPr>
        <w:rFonts w:ascii="Calibri" w:hAnsi="Calibri" w:hint="default"/>
      </w:rPr>
    </w:lvl>
    <w:lvl w:ilvl="6" w:tplc="AE86F79E" w:tentative="1">
      <w:start w:val="1"/>
      <w:numFmt w:val="bullet"/>
      <w:lvlText w:val="•"/>
      <w:lvlJc w:val="left"/>
      <w:pPr>
        <w:tabs>
          <w:tab w:val="num" w:pos="5040"/>
        </w:tabs>
        <w:ind w:left="5040" w:hanging="360"/>
      </w:pPr>
      <w:rPr>
        <w:rFonts w:ascii="Calibri" w:hAnsi="Calibri" w:hint="default"/>
      </w:rPr>
    </w:lvl>
    <w:lvl w:ilvl="7" w:tplc="246CBB56" w:tentative="1">
      <w:start w:val="1"/>
      <w:numFmt w:val="bullet"/>
      <w:lvlText w:val="•"/>
      <w:lvlJc w:val="left"/>
      <w:pPr>
        <w:tabs>
          <w:tab w:val="num" w:pos="5760"/>
        </w:tabs>
        <w:ind w:left="5760" w:hanging="360"/>
      </w:pPr>
      <w:rPr>
        <w:rFonts w:ascii="Calibri" w:hAnsi="Calibri" w:hint="default"/>
      </w:rPr>
    </w:lvl>
    <w:lvl w:ilvl="8" w:tplc="845E6F62" w:tentative="1">
      <w:start w:val="1"/>
      <w:numFmt w:val="bullet"/>
      <w:lvlText w:val="•"/>
      <w:lvlJc w:val="left"/>
      <w:pPr>
        <w:tabs>
          <w:tab w:val="num" w:pos="6480"/>
        </w:tabs>
        <w:ind w:left="6480" w:hanging="360"/>
      </w:pPr>
      <w:rPr>
        <w:rFonts w:ascii="Calibri" w:hAnsi="Calibri"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82C"/>
    <w:rsid w:val="00004E0D"/>
    <w:rsid w:val="000076C5"/>
    <w:rsid w:val="00022E5B"/>
    <w:rsid w:val="00027660"/>
    <w:rsid w:val="00027C9F"/>
    <w:rsid w:val="0003272E"/>
    <w:rsid w:val="00035EC7"/>
    <w:rsid w:val="00037824"/>
    <w:rsid w:val="00043ADD"/>
    <w:rsid w:val="000448F6"/>
    <w:rsid w:val="00055037"/>
    <w:rsid w:val="00055EDA"/>
    <w:rsid w:val="0006077B"/>
    <w:rsid w:val="00060C23"/>
    <w:rsid w:val="00062E21"/>
    <w:rsid w:val="000662A1"/>
    <w:rsid w:val="00073569"/>
    <w:rsid w:val="000752ED"/>
    <w:rsid w:val="00076979"/>
    <w:rsid w:val="000818DF"/>
    <w:rsid w:val="000824AD"/>
    <w:rsid w:val="00085D64"/>
    <w:rsid w:val="0008625D"/>
    <w:rsid w:val="000900E4"/>
    <w:rsid w:val="0009233C"/>
    <w:rsid w:val="00095A34"/>
    <w:rsid w:val="000A6D1F"/>
    <w:rsid w:val="000B4269"/>
    <w:rsid w:val="000B42A3"/>
    <w:rsid w:val="000B7189"/>
    <w:rsid w:val="000B768D"/>
    <w:rsid w:val="000C1ACF"/>
    <w:rsid w:val="000D3233"/>
    <w:rsid w:val="000D4C4E"/>
    <w:rsid w:val="000D54E9"/>
    <w:rsid w:val="000D5BBF"/>
    <w:rsid w:val="000D5F58"/>
    <w:rsid w:val="000E2C36"/>
    <w:rsid w:val="000E603C"/>
    <w:rsid w:val="000F34C6"/>
    <w:rsid w:val="000F6BE7"/>
    <w:rsid w:val="00103516"/>
    <w:rsid w:val="00103D9C"/>
    <w:rsid w:val="0010534A"/>
    <w:rsid w:val="00111159"/>
    <w:rsid w:val="0011217D"/>
    <w:rsid w:val="00113A92"/>
    <w:rsid w:val="0011666C"/>
    <w:rsid w:val="001169B5"/>
    <w:rsid w:val="001225D0"/>
    <w:rsid w:val="00125419"/>
    <w:rsid w:val="001270D6"/>
    <w:rsid w:val="001401CC"/>
    <w:rsid w:val="00140750"/>
    <w:rsid w:val="001426E4"/>
    <w:rsid w:val="00150355"/>
    <w:rsid w:val="001541EB"/>
    <w:rsid w:val="00155354"/>
    <w:rsid w:val="0015594E"/>
    <w:rsid w:val="0016017C"/>
    <w:rsid w:val="001608BD"/>
    <w:rsid w:val="00161ADC"/>
    <w:rsid w:val="00163E35"/>
    <w:rsid w:val="00174E96"/>
    <w:rsid w:val="00175232"/>
    <w:rsid w:val="00184039"/>
    <w:rsid w:val="001858A9"/>
    <w:rsid w:val="001858FC"/>
    <w:rsid w:val="00186CC7"/>
    <w:rsid w:val="001936E6"/>
    <w:rsid w:val="00196422"/>
    <w:rsid w:val="00196F64"/>
    <w:rsid w:val="001A511E"/>
    <w:rsid w:val="001A701C"/>
    <w:rsid w:val="001B3ED5"/>
    <w:rsid w:val="001B43B9"/>
    <w:rsid w:val="001C2389"/>
    <w:rsid w:val="001C5C83"/>
    <w:rsid w:val="001D073F"/>
    <w:rsid w:val="001D0D77"/>
    <w:rsid w:val="001D3694"/>
    <w:rsid w:val="001D3A9A"/>
    <w:rsid w:val="001D4526"/>
    <w:rsid w:val="001E1FB7"/>
    <w:rsid w:val="001E3121"/>
    <w:rsid w:val="001E38C0"/>
    <w:rsid w:val="001F1179"/>
    <w:rsid w:val="001F2886"/>
    <w:rsid w:val="001F5B64"/>
    <w:rsid w:val="00202C95"/>
    <w:rsid w:val="00205ED5"/>
    <w:rsid w:val="002262D2"/>
    <w:rsid w:val="00230653"/>
    <w:rsid w:val="00230EAF"/>
    <w:rsid w:val="00232CAF"/>
    <w:rsid w:val="00233CAD"/>
    <w:rsid w:val="0024281F"/>
    <w:rsid w:val="002446DD"/>
    <w:rsid w:val="00244CE8"/>
    <w:rsid w:val="0024644C"/>
    <w:rsid w:val="00247D9E"/>
    <w:rsid w:val="00250BD0"/>
    <w:rsid w:val="00266EED"/>
    <w:rsid w:val="002779B5"/>
    <w:rsid w:val="002815CF"/>
    <w:rsid w:val="00285755"/>
    <w:rsid w:val="002A46DF"/>
    <w:rsid w:val="002A6141"/>
    <w:rsid w:val="002B4712"/>
    <w:rsid w:val="002B574E"/>
    <w:rsid w:val="002C3A06"/>
    <w:rsid w:val="002C429A"/>
    <w:rsid w:val="002C4588"/>
    <w:rsid w:val="002C4A78"/>
    <w:rsid w:val="002C5328"/>
    <w:rsid w:val="002D28FF"/>
    <w:rsid w:val="002D544B"/>
    <w:rsid w:val="002D5FD4"/>
    <w:rsid w:val="002D6019"/>
    <w:rsid w:val="002E522E"/>
    <w:rsid w:val="002E719E"/>
    <w:rsid w:val="002E7B6A"/>
    <w:rsid w:val="002F38FB"/>
    <w:rsid w:val="00307566"/>
    <w:rsid w:val="00310365"/>
    <w:rsid w:val="00311282"/>
    <w:rsid w:val="00313206"/>
    <w:rsid w:val="00313D11"/>
    <w:rsid w:val="00313F1C"/>
    <w:rsid w:val="00315821"/>
    <w:rsid w:val="00316BA4"/>
    <w:rsid w:val="0032027E"/>
    <w:rsid w:val="003235AC"/>
    <w:rsid w:val="0033222F"/>
    <w:rsid w:val="00334965"/>
    <w:rsid w:val="00344D6B"/>
    <w:rsid w:val="00350C64"/>
    <w:rsid w:val="003566FE"/>
    <w:rsid w:val="00356E40"/>
    <w:rsid w:val="00361BEC"/>
    <w:rsid w:val="00361F98"/>
    <w:rsid w:val="00362258"/>
    <w:rsid w:val="0036394D"/>
    <w:rsid w:val="00365DC8"/>
    <w:rsid w:val="00367715"/>
    <w:rsid w:val="003732B2"/>
    <w:rsid w:val="003962E9"/>
    <w:rsid w:val="00397159"/>
    <w:rsid w:val="003B11C5"/>
    <w:rsid w:val="003B2FE1"/>
    <w:rsid w:val="003B6F6B"/>
    <w:rsid w:val="003C589A"/>
    <w:rsid w:val="003D3312"/>
    <w:rsid w:val="003D6018"/>
    <w:rsid w:val="003D7607"/>
    <w:rsid w:val="003F2447"/>
    <w:rsid w:val="003F5055"/>
    <w:rsid w:val="00401BBC"/>
    <w:rsid w:val="004145AB"/>
    <w:rsid w:val="00414F2C"/>
    <w:rsid w:val="004260B8"/>
    <w:rsid w:val="00436DD1"/>
    <w:rsid w:val="00447A9C"/>
    <w:rsid w:val="004515CD"/>
    <w:rsid w:val="00453840"/>
    <w:rsid w:val="00453D33"/>
    <w:rsid w:val="004572CD"/>
    <w:rsid w:val="00461971"/>
    <w:rsid w:val="0046755C"/>
    <w:rsid w:val="004822D1"/>
    <w:rsid w:val="004870BC"/>
    <w:rsid w:val="004900D9"/>
    <w:rsid w:val="00492FFE"/>
    <w:rsid w:val="00493D07"/>
    <w:rsid w:val="0049799C"/>
    <w:rsid w:val="00497CDD"/>
    <w:rsid w:val="004B0A7A"/>
    <w:rsid w:val="004B0B3C"/>
    <w:rsid w:val="004B4A4E"/>
    <w:rsid w:val="004B58B6"/>
    <w:rsid w:val="004C03D9"/>
    <w:rsid w:val="004C051A"/>
    <w:rsid w:val="004C1D25"/>
    <w:rsid w:val="004C7FA0"/>
    <w:rsid w:val="004D0B1B"/>
    <w:rsid w:val="004D31BC"/>
    <w:rsid w:val="004D67ED"/>
    <w:rsid w:val="004E2147"/>
    <w:rsid w:val="004E5263"/>
    <w:rsid w:val="004E5F69"/>
    <w:rsid w:val="004E7065"/>
    <w:rsid w:val="00502D38"/>
    <w:rsid w:val="00502E4D"/>
    <w:rsid w:val="00503E28"/>
    <w:rsid w:val="005127A3"/>
    <w:rsid w:val="00513A58"/>
    <w:rsid w:val="00514278"/>
    <w:rsid w:val="00515D6D"/>
    <w:rsid w:val="00517B0E"/>
    <w:rsid w:val="00517CCF"/>
    <w:rsid w:val="0052270B"/>
    <w:rsid w:val="00523DD6"/>
    <w:rsid w:val="00525DD7"/>
    <w:rsid w:val="0052720C"/>
    <w:rsid w:val="00531B17"/>
    <w:rsid w:val="00534C63"/>
    <w:rsid w:val="005372C0"/>
    <w:rsid w:val="005423ED"/>
    <w:rsid w:val="0054633D"/>
    <w:rsid w:val="005603C3"/>
    <w:rsid w:val="00562BE9"/>
    <w:rsid w:val="00565D6C"/>
    <w:rsid w:val="00572BB2"/>
    <w:rsid w:val="005739AA"/>
    <w:rsid w:val="005779FA"/>
    <w:rsid w:val="00577D5A"/>
    <w:rsid w:val="00582A35"/>
    <w:rsid w:val="00582D6B"/>
    <w:rsid w:val="00583D1A"/>
    <w:rsid w:val="0058701D"/>
    <w:rsid w:val="00587E75"/>
    <w:rsid w:val="00591941"/>
    <w:rsid w:val="00592162"/>
    <w:rsid w:val="00595159"/>
    <w:rsid w:val="00597B15"/>
    <w:rsid w:val="005A01F3"/>
    <w:rsid w:val="005A24F1"/>
    <w:rsid w:val="005A4E30"/>
    <w:rsid w:val="005A7F22"/>
    <w:rsid w:val="005B0967"/>
    <w:rsid w:val="005B22C7"/>
    <w:rsid w:val="005B4EC3"/>
    <w:rsid w:val="005B601C"/>
    <w:rsid w:val="005B638C"/>
    <w:rsid w:val="005B7C89"/>
    <w:rsid w:val="005C02A5"/>
    <w:rsid w:val="005C1BC9"/>
    <w:rsid w:val="005C291D"/>
    <w:rsid w:val="005C3278"/>
    <w:rsid w:val="005D228A"/>
    <w:rsid w:val="005D4DC9"/>
    <w:rsid w:val="005E1FB8"/>
    <w:rsid w:val="005E385E"/>
    <w:rsid w:val="005E65B7"/>
    <w:rsid w:val="005F07FA"/>
    <w:rsid w:val="005F4C22"/>
    <w:rsid w:val="00600532"/>
    <w:rsid w:val="006024FA"/>
    <w:rsid w:val="00616F60"/>
    <w:rsid w:val="0063006A"/>
    <w:rsid w:val="00633257"/>
    <w:rsid w:val="00634AD1"/>
    <w:rsid w:val="006354B2"/>
    <w:rsid w:val="00636150"/>
    <w:rsid w:val="00646368"/>
    <w:rsid w:val="00647FCF"/>
    <w:rsid w:val="006514D3"/>
    <w:rsid w:val="00654354"/>
    <w:rsid w:val="006577B2"/>
    <w:rsid w:val="006624EB"/>
    <w:rsid w:val="00664783"/>
    <w:rsid w:val="006658E1"/>
    <w:rsid w:val="00665EF3"/>
    <w:rsid w:val="006752AA"/>
    <w:rsid w:val="00686B2A"/>
    <w:rsid w:val="00693638"/>
    <w:rsid w:val="00694603"/>
    <w:rsid w:val="00694DEA"/>
    <w:rsid w:val="006A1ED0"/>
    <w:rsid w:val="006A6C07"/>
    <w:rsid w:val="006A7904"/>
    <w:rsid w:val="006B1A43"/>
    <w:rsid w:val="006B23D5"/>
    <w:rsid w:val="006B45DE"/>
    <w:rsid w:val="006C27E6"/>
    <w:rsid w:val="006C2932"/>
    <w:rsid w:val="006C5F5F"/>
    <w:rsid w:val="006C7789"/>
    <w:rsid w:val="006C7841"/>
    <w:rsid w:val="006D2A50"/>
    <w:rsid w:val="006D6C70"/>
    <w:rsid w:val="006E3FF4"/>
    <w:rsid w:val="006E48EC"/>
    <w:rsid w:val="006E4E1E"/>
    <w:rsid w:val="006E5420"/>
    <w:rsid w:val="006F5851"/>
    <w:rsid w:val="00700278"/>
    <w:rsid w:val="00701185"/>
    <w:rsid w:val="00701ED1"/>
    <w:rsid w:val="00706D92"/>
    <w:rsid w:val="00711314"/>
    <w:rsid w:val="00715FC4"/>
    <w:rsid w:val="007162B8"/>
    <w:rsid w:val="00716AC8"/>
    <w:rsid w:val="00716DA8"/>
    <w:rsid w:val="0072765A"/>
    <w:rsid w:val="007306B6"/>
    <w:rsid w:val="00731DAC"/>
    <w:rsid w:val="00740022"/>
    <w:rsid w:val="00741A12"/>
    <w:rsid w:val="00745404"/>
    <w:rsid w:val="0075464A"/>
    <w:rsid w:val="007547E8"/>
    <w:rsid w:val="00760DF9"/>
    <w:rsid w:val="00761509"/>
    <w:rsid w:val="0076783D"/>
    <w:rsid w:val="00774CA2"/>
    <w:rsid w:val="00776786"/>
    <w:rsid w:val="00781CF0"/>
    <w:rsid w:val="00783893"/>
    <w:rsid w:val="00783FE6"/>
    <w:rsid w:val="00785E09"/>
    <w:rsid w:val="00786C39"/>
    <w:rsid w:val="007944F3"/>
    <w:rsid w:val="007A268D"/>
    <w:rsid w:val="007A40A6"/>
    <w:rsid w:val="007A7A97"/>
    <w:rsid w:val="007C365B"/>
    <w:rsid w:val="007C37B2"/>
    <w:rsid w:val="007D0D29"/>
    <w:rsid w:val="007D1498"/>
    <w:rsid w:val="007F2FDB"/>
    <w:rsid w:val="007F4BF6"/>
    <w:rsid w:val="007F64EA"/>
    <w:rsid w:val="007F7F55"/>
    <w:rsid w:val="008051EE"/>
    <w:rsid w:val="00805CE5"/>
    <w:rsid w:val="00806B48"/>
    <w:rsid w:val="008075A8"/>
    <w:rsid w:val="00811426"/>
    <w:rsid w:val="00812852"/>
    <w:rsid w:val="00823B21"/>
    <w:rsid w:val="00824808"/>
    <w:rsid w:val="00825F3D"/>
    <w:rsid w:val="00834AE2"/>
    <w:rsid w:val="0083565F"/>
    <w:rsid w:val="00847181"/>
    <w:rsid w:val="00850548"/>
    <w:rsid w:val="008576C8"/>
    <w:rsid w:val="00861484"/>
    <w:rsid w:val="00861E85"/>
    <w:rsid w:val="0087049C"/>
    <w:rsid w:val="00871F60"/>
    <w:rsid w:val="0087745D"/>
    <w:rsid w:val="008779FE"/>
    <w:rsid w:val="0088128A"/>
    <w:rsid w:val="00890C5D"/>
    <w:rsid w:val="00892F1F"/>
    <w:rsid w:val="008940F4"/>
    <w:rsid w:val="008943E5"/>
    <w:rsid w:val="008944E7"/>
    <w:rsid w:val="008A366F"/>
    <w:rsid w:val="008B3024"/>
    <w:rsid w:val="008B46D5"/>
    <w:rsid w:val="008B4F31"/>
    <w:rsid w:val="008C2224"/>
    <w:rsid w:val="008C2B93"/>
    <w:rsid w:val="008C6E95"/>
    <w:rsid w:val="008D417A"/>
    <w:rsid w:val="008E085B"/>
    <w:rsid w:val="008E0ECA"/>
    <w:rsid w:val="008E7EBE"/>
    <w:rsid w:val="008F16DE"/>
    <w:rsid w:val="008F2E34"/>
    <w:rsid w:val="008F6088"/>
    <w:rsid w:val="009006D8"/>
    <w:rsid w:val="00911689"/>
    <w:rsid w:val="00913A88"/>
    <w:rsid w:val="00913B96"/>
    <w:rsid w:val="009210DE"/>
    <w:rsid w:val="00924FA2"/>
    <w:rsid w:val="00926BB1"/>
    <w:rsid w:val="00932313"/>
    <w:rsid w:val="00933FF1"/>
    <w:rsid w:val="00934900"/>
    <w:rsid w:val="009414A2"/>
    <w:rsid w:val="00941DCE"/>
    <w:rsid w:val="00943178"/>
    <w:rsid w:val="00946106"/>
    <w:rsid w:val="00947430"/>
    <w:rsid w:val="00947B34"/>
    <w:rsid w:val="0095553B"/>
    <w:rsid w:val="00955543"/>
    <w:rsid w:val="009557AB"/>
    <w:rsid w:val="00960D70"/>
    <w:rsid w:val="009617AA"/>
    <w:rsid w:val="00961E04"/>
    <w:rsid w:val="009723F8"/>
    <w:rsid w:val="009800E8"/>
    <w:rsid w:val="00981B21"/>
    <w:rsid w:val="00987861"/>
    <w:rsid w:val="009935C3"/>
    <w:rsid w:val="0099575F"/>
    <w:rsid w:val="00996F2C"/>
    <w:rsid w:val="00997081"/>
    <w:rsid w:val="009970D4"/>
    <w:rsid w:val="009A65E5"/>
    <w:rsid w:val="009B7ED1"/>
    <w:rsid w:val="009C5549"/>
    <w:rsid w:val="009C7A30"/>
    <w:rsid w:val="009D000D"/>
    <w:rsid w:val="009D4DCE"/>
    <w:rsid w:val="009E0E93"/>
    <w:rsid w:val="009E2AAF"/>
    <w:rsid w:val="009E5018"/>
    <w:rsid w:val="009E6381"/>
    <w:rsid w:val="009F322B"/>
    <w:rsid w:val="009F46D9"/>
    <w:rsid w:val="009F746D"/>
    <w:rsid w:val="00A00A24"/>
    <w:rsid w:val="00A035F7"/>
    <w:rsid w:val="00A113CF"/>
    <w:rsid w:val="00A27473"/>
    <w:rsid w:val="00A3054F"/>
    <w:rsid w:val="00A3182D"/>
    <w:rsid w:val="00A31AE9"/>
    <w:rsid w:val="00A37E0A"/>
    <w:rsid w:val="00A42DED"/>
    <w:rsid w:val="00A44382"/>
    <w:rsid w:val="00A448B2"/>
    <w:rsid w:val="00A449D8"/>
    <w:rsid w:val="00A46AB4"/>
    <w:rsid w:val="00A470A8"/>
    <w:rsid w:val="00A54060"/>
    <w:rsid w:val="00A562BF"/>
    <w:rsid w:val="00A612C4"/>
    <w:rsid w:val="00A64135"/>
    <w:rsid w:val="00A64528"/>
    <w:rsid w:val="00A64EF1"/>
    <w:rsid w:val="00A678B4"/>
    <w:rsid w:val="00A67A07"/>
    <w:rsid w:val="00A76E1C"/>
    <w:rsid w:val="00A8157D"/>
    <w:rsid w:val="00A82227"/>
    <w:rsid w:val="00A84175"/>
    <w:rsid w:val="00A8458F"/>
    <w:rsid w:val="00A85A58"/>
    <w:rsid w:val="00A939D9"/>
    <w:rsid w:val="00A9437D"/>
    <w:rsid w:val="00A948C9"/>
    <w:rsid w:val="00A955C7"/>
    <w:rsid w:val="00A964E9"/>
    <w:rsid w:val="00AA2160"/>
    <w:rsid w:val="00AA3DE1"/>
    <w:rsid w:val="00AA48D1"/>
    <w:rsid w:val="00AB10B9"/>
    <w:rsid w:val="00AB1883"/>
    <w:rsid w:val="00AB19B8"/>
    <w:rsid w:val="00AB313B"/>
    <w:rsid w:val="00AC30E9"/>
    <w:rsid w:val="00AD027B"/>
    <w:rsid w:val="00AD07B1"/>
    <w:rsid w:val="00AD47D9"/>
    <w:rsid w:val="00AD64C7"/>
    <w:rsid w:val="00AE20FF"/>
    <w:rsid w:val="00AE3886"/>
    <w:rsid w:val="00AF3B42"/>
    <w:rsid w:val="00AF596A"/>
    <w:rsid w:val="00B01B5C"/>
    <w:rsid w:val="00B03176"/>
    <w:rsid w:val="00B16971"/>
    <w:rsid w:val="00B257F6"/>
    <w:rsid w:val="00B2771B"/>
    <w:rsid w:val="00B27D87"/>
    <w:rsid w:val="00B32BBD"/>
    <w:rsid w:val="00B347C0"/>
    <w:rsid w:val="00B34EF0"/>
    <w:rsid w:val="00B376F6"/>
    <w:rsid w:val="00B42C70"/>
    <w:rsid w:val="00B42E52"/>
    <w:rsid w:val="00B42F1C"/>
    <w:rsid w:val="00B51454"/>
    <w:rsid w:val="00B538F9"/>
    <w:rsid w:val="00B627C2"/>
    <w:rsid w:val="00B62814"/>
    <w:rsid w:val="00B62850"/>
    <w:rsid w:val="00B63487"/>
    <w:rsid w:val="00B66C61"/>
    <w:rsid w:val="00B66FE0"/>
    <w:rsid w:val="00B703FA"/>
    <w:rsid w:val="00B72C2F"/>
    <w:rsid w:val="00B731AC"/>
    <w:rsid w:val="00B7496B"/>
    <w:rsid w:val="00B81D26"/>
    <w:rsid w:val="00B861AB"/>
    <w:rsid w:val="00B90673"/>
    <w:rsid w:val="00B93CB8"/>
    <w:rsid w:val="00B972D5"/>
    <w:rsid w:val="00BA1865"/>
    <w:rsid w:val="00BA5067"/>
    <w:rsid w:val="00BA7ACF"/>
    <w:rsid w:val="00BB436D"/>
    <w:rsid w:val="00BC52A5"/>
    <w:rsid w:val="00BC62D0"/>
    <w:rsid w:val="00BD3191"/>
    <w:rsid w:val="00BD72DF"/>
    <w:rsid w:val="00BE6B92"/>
    <w:rsid w:val="00BF52A1"/>
    <w:rsid w:val="00BF7082"/>
    <w:rsid w:val="00C031CF"/>
    <w:rsid w:val="00C10030"/>
    <w:rsid w:val="00C1205C"/>
    <w:rsid w:val="00C1320E"/>
    <w:rsid w:val="00C13399"/>
    <w:rsid w:val="00C20AB6"/>
    <w:rsid w:val="00C22927"/>
    <w:rsid w:val="00C23A51"/>
    <w:rsid w:val="00C26945"/>
    <w:rsid w:val="00C26DC8"/>
    <w:rsid w:val="00C360E1"/>
    <w:rsid w:val="00C45B79"/>
    <w:rsid w:val="00C5310F"/>
    <w:rsid w:val="00C64A4B"/>
    <w:rsid w:val="00C65DEA"/>
    <w:rsid w:val="00C663AA"/>
    <w:rsid w:val="00C663F8"/>
    <w:rsid w:val="00C678E5"/>
    <w:rsid w:val="00C7280C"/>
    <w:rsid w:val="00C72C51"/>
    <w:rsid w:val="00C75ABC"/>
    <w:rsid w:val="00C75D1B"/>
    <w:rsid w:val="00C80268"/>
    <w:rsid w:val="00C839B6"/>
    <w:rsid w:val="00C84219"/>
    <w:rsid w:val="00C8429B"/>
    <w:rsid w:val="00C8668D"/>
    <w:rsid w:val="00CA1813"/>
    <w:rsid w:val="00CA354D"/>
    <w:rsid w:val="00CA65F2"/>
    <w:rsid w:val="00CA794A"/>
    <w:rsid w:val="00CB7123"/>
    <w:rsid w:val="00CC3051"/>
    <w:rsid w:val="00CC349B"/>
    <w:rsid w:val="00CC3D4B"/>
    <w:rsid w:val="00CC448D"/>
    <w:rsid w:val="00CC4591"/>
    <w:rsid w:val="00CC59F8"/>
    <w:rsid w:val="00CD6FCB"/>
    <w:rsid w:val="00CE0140"/>
    <w:rsid w:val="00CE6BC8"/>
    <w:rsid w:val="00CF6A13"/>
    <w:rsid w:val="00CF7290"/>
    <w:rsid w:val="00CF7CCE"/>
    <w:rsid w:val="00D04C37"/>
    <w:rsid w:val="00D10F3B"/>
    <w:rsid w:val="00D13F55"/>
    <w:rsid w:val="00D16763"/>
    <w:rsid w:val="00D37DAB"/>
    <w:rsid w:val="00D42FAA"/>
    <w:rsid w:val="00D60C5D"/>
    <w:rsid w:val="00D65E00"/>
    <w:rsid w:val="00D71C19"/>
    <w:rsid w:val="00D72C65"/>
    <w:rsid w:val="00D80D21"/>
    <w:rsid w:val="00D81862"/>
    <w:rsid w:val="00D952D1"/>
    <w:rsid w:val="00D96305"/>
    <w:rsid w:val="00D9674B"/>
    <w:rsid w:val="00D96D17"/>
    <w:rsid w:val="00D97B02"/>
    <w:rsid w:val="00DB2F56"/>
    <w:rsid w:val="00DB3421"/>
    <w:rsid w:val="00DC582C"/>
    <w:rsid w:val="00DC6AE9"/>
    <w:rsid w:val="00DD16FB"/>
    <w:rsid w:val="00DD18FC"/>
    <w:rsid w:val="00DD691B"/>
    <w:rsid w:val="00DE2B64"/>
    <w:rsid w:val="00DE333D"/>
    <w:rsid w:val="00DE5587"/>
    <w:rsid w:val="00DE7848"/>
    <w:rsid w:val="00DF22EA"/>
    <w:rsid w:val="00DF43A0"/>
    <w:rsid w:val="00E03EBD"/>
    <w:rsid w:val="00E176A0"/>
    <w:rsid w:val="00E22B15"/>
    <w:rsid w:val="00E25B5E"/>
    <w:rsid w:val="00E278EC"/>
    <w:rsid w:val="00E4431F"/>
    <w:rsid w:val="00E55BA5"/>
    <w:rsid w:val="00E56C57"/>
    <w:rsid w:val="00E624BD"/>
    <w:rsid w:val="00E6377F"/>
    <w:rsid w:val="00E65F34"/>
    <w:rsid w:val="00E71B5F"/>
    <w:rsid w:val="00E721CE"/>
    <w:rsid w:val="00E77127"/>
    <w:rsid w:val="00E8069A"/>
    <w:rsid w:val="00E9466A"/>
    <w:rsid w:val="00E964AA"/>
    <w:rsid w:val="00EA1B79"/>
    <w:rsid w:val="00EA3648"/>
    <w:rsid w:val="00EA3660"/>
    <w:rsid w:val="00EA42AA"/>
    <w:rsid w:val="00EC3875"/>
    <w:rsid w:val="00ED0BE6"/>
    <w:rsid w:val="00ED1B4B"/>
    <w:rsid w:val="00ED42CC"/>
    <w:rsid w:val="00ED66AF"/>
    <w:rsid w:val="00ED7020"/>
    <w:rsid w:val="00EE2BC0"/>
    <w:rsid w:val="00EE583F"/>
    <w:rsid w:val="00EF07A2"/>
    <w:rsid w:val="00F018B2"/>
    <w:rsid w:val="00F020DC"/>
    <w:rsid w:val="00F02C21"/>
    <w:rsid w:val="00F03030"/>
    <w:rsid w:val="00F0492C"/>
    <w:rsid w:val="00F04FAC"/>
    <w:rsid w:val="00F0649F"/>
    <w:rsid w:val="00F07F17"/>
    <w:rsid w:val="00F12EE8"/>
    <w:rsid w:val="00F143FC"/>
    <w:rsid w:val="00F22385"/>
    <w:rsid w:val="00F3284B"/>
    <w:rsid w:val="00F35230"/>
    <w:rsid w:val="00F42EFC"/>
    <w:rsid w:val="00F43C41"/>
    <w:rsid w:val="00F45F8A"/>
    <w:rsid w:val="00F5212F"/>
    <w:rsid w:val="00F5242F"/>
    <w:rsid w:val="00F569D6"/>
    <w:rsid w:val="00F61F65"/>
    <w:rsid w:val="00F62C39"/>
    <w:rsid w:val="00F71FF4"/>
    <w:rsid w:val="00F85313"/>
    <w:rsid w:val="00F96C71"/>
    <w:rsid w:val="00FA39D3"/>
    <w:rsid w:val="00FA72E2"/>
    <w:rsid w:val="00FB28E4"/>
    <w:rsid w:val="00FB3063"/>
    <w:rsid w:val="00FC25ED"/>
    <w:rsid w:val="00FC2AE9"/>
    <w:rsid w:val="00FC4256"/>
    <w:rsid w:val="00FD2C95"/>
    <w:rsid w:val="00FD7F26"/>
    <w:rsid w:val="00FF0CDF"/>
    <w:rsid w:val="00FF1454"/>
    <w:rsid w:val="00FF2BE7"/>
    <w:rsid w:val="00FF4B4B"/>
    <w:rsid w:val="00FF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3D5"/>
    <w:rPr>
      <w:rFonts w:ascii="Calibri" w:hAnsi="Calibri"/>
      <w:sz w:val="22"/>
      <w:szCs w:val="24"/>
    </w:rPr>
  </w:style>
  <w:style w:type="paragraph" w:styleId="Heading1">
    <w:name w:val="heading 1"/>
    <w:basedOn w:val="Normal"/>
    <w:next w:val="Normal"/>
    <w:qFormat/>
    <w:rsid w:val="002446D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732B2"/>
    <w:pPr>
      <w:spacing w:before="100" w:beforeAutospacing="1" w:after="100" w:afterAutospacing="1"/>
    </w:pPr>
    <w:rPr>
      <w:rFonts w:ascii="Times New Roman" w:hAnsi="Times New Roman"/>
      <w:sz w:val="24"/>
    </w:rPr>
  </w:style>
  <w:style w:type="character" w:styleId="Emphasis">
    <w:name w:val="Emphasis"/>
    <w:basedOn w:val="DefaultParagraphFont"/>
    <w:qFormat/>
    <w:rsid w:val="003732B2"/>
    <w:rPr>
      <w:i/>
      <w:iCs/>
    </w:rPr>
  </w:style>
  <w:style w:type="paragraph" w:styleId="Footer">
    <w:name w:val="footer"/>
    <w:basedOn w:val="Normal"/>
    <w:rsid w:val="00517B0E"/>
    <w:pPr>
      <w:tabs>
        <w:tab w:val="center" w:pos="4320"/>
        <w:tab w:val="right" w:pos="8640"/>
      </w:tabs>
    </w:pPr>
  </w:style>
  <w:style w:type="character" w:styleId="PageNumber">
    <w:name w:val="page number"/>
    <w:basedOn w:val="DefaultParagraphFont"/>
    <w:rsid w:val="00517B0E"/>
  </w:style>
  <w:style w:type="paragraph" w:styleId="Header">
    <w:name w:val="header"/>
    <w:basedOn w:val="Normal"/>
    <w:rsid w:val="00517B0E"/>
    <w:pPr>
      <w:tabs>
        <w:tab w:val="center" w:pos="4320"/>
        <w:tab w:val="right" w:pos="8640"/>
      </w:tabs>
    </w:pPr>
  </w:style>
  <w:style w:type="paragraph" w:styleId="BalloonText">
    <w:name w:val="Balloon Text"/>
    <w:basedOn w:val="Normal"/>
    <w:link w:val="BalloonTextChar"/>
    <w:rsid w:val="009D4DCE"/>
    <w:rPr>
      <w:rFonts w:ascii="Tahoma" w:hAnsi="Tahoma" w:cs="Tahoma"/>
      <w:sz w:val="16"/>
      <w:szCs w:val="16"/>
    </w:rPr>
  </w:style>
  <w:style w:type="character" w:customStyle="1" w:styleId="BalloonTextChar">
    <w:name w:val="Balloon Text Char"/>
    <w:basedOn w:val="DefaultParagraphFont"/>
    <w:link w:val="BalloonText"/>
    <w:rsid w:val="009D4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23D5"/>
    <w:rPr>
      <w:rFonts w:ascii="Calibri" w:hAnsi="Calibri"/>
      <w:sz w:val="22"/>
      <w:szCs w:val="24"/>
    </w:rPr>
  </w:style>
  <w:style w:type="paragraph" w:styleId="Heading1">
    <w:name w:val="heading 1"/>
    <w:basedOn w:val="Normal"/>
    <w:next w:val="Normal"/>
    <w:qFormat/>
    <w:rsid w:val="002446D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732B2"/>
    <w:pPr>
      <w:spacing w:before="100" w:beforeAutospacing="1" w:after="100" w:afterAutospacing="1"/>
    </w:pPr>
    <w:rPr>
      <w:rFonts w:ascii="Times New Roman" w:hAnsi="Times New Roman"/>
      <w:sz w:val="24"/>
    </w:rPr>
  </w:style>
  <w:style w:type="character" w:styleId="Emphasis">
    <w:name w:val="Emphasis"/>
    <w:basedOn w:val="DefaultParagraphFont"/>
    <w:qFormat/>
    <w:rsid w:val="003732B2"/>
    <w:rPr>
      <w:i/>
      <w:iCs/>
    </w:rPr>
  </w:style>
  <w:style w:type="paragraph" w:styleId="Footer">
    <w:name w:val="footer"/>
    <w:basedOn w:val="Normal"/>
    <w:rsid w:val="00517B0E"/>
    <w:pPr>
      <w:tabs>
        <w:tab w:val="center" w:pos="4320"/>
        <w:tab w:val="right" w:pos="8640"/>
      </w:tabs>
    </w:pPr>
  </w:style>
  <w:style w:type="character" w:styleId="PageNumber">
    <w:name w:val="page number"/>
    <w:basedOn w:val="DefaultParagraphFont"/>
    <w:rsid w:val="00517B0E"/>
  </w:style>
  <w:style w:type="paragraph" w:styleId="Header">
    <w:name w:val="header"/>
    <w:basedOn w:val="Normal"/>
    <w:rsid w:val="00517B0E"/>
    <w:pPr>
      <w:tabs>
        <w:tab w:val="center" w:pos="4320"/>
        <w:tab w:val="right" w:pos="8640"/>
      </w:tabs>
    </w:pPr>
  </w:style>
  <w:style w:type="paragraph" w:styleId="BalloonText">
    <w:name w:val="Balloon Text"/>
    <w:basedOn w:val="Normal"/>
    <w:link w:val="BalloonTextChar"/>
    <w:rsid w:val="009D4DCE"/>
    <w:rPr>
      <w:rFonts w:ascii="Tahoma" w:hAnsi="Tahoma" w:cs="Tahoma"/>
      <w:sz w:val="16"/>
      <w:szCs w:val="16"/>
    </w:rPr>
  </w:style>
  <w:style w:type="character" w:customStyle="1" w:styleId="BalloonTextChar">
    <w:name w:val="Balloon Text Char"/>
    <w:basedOn w:val="DefaultParagraphFont"/>
    <w:link w:val="BalloonText"/>
    <w:rsid w:val="009D4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43781">
      <w:bodyDiv w:val="1"/>
      <w:marLeft w:val="0"/>
      <w:marRight w:val="0"/>
      <w:marTop w:val="0"/>
      <w:marBottom w:val="0"/>
      <w:divBdr>
        <w:top w:val="none" w:sz="0" w:space="0" w:color="auto"/>
        <w:left w:val="none" w:sz="0" w:space="0" w:color="auto"/>
        <w:bottom w:val="none" w:sz="0" w:space="0" w:color="auto"/>
        <w:right w:val="none" w:sz="0" w:space="0" w:color="auto"/>
      </w:divBdr>
      <w:divsChild>
        <w:div w:id="1581478290">
          <w:marLeft w:val="0"/>
          <w:marRight w:val="0"/>
          <w:marTop w:val="0"/>
          <w:marBottom w:val="0"/>
          <w:divBdr>
            <w:top w:val="none" w:sz="0" w:space="0" w:color="auto"/>
            <w:left w:val="none" w:sz="0" w:space="0" w:color="auto"/>
            <w:bottom w:val="none" w:sz="0" w:space="0" w:color="auto"/>
            <w:right w:val="none" w:sz="0" w:space="0" w:color="auto"/>
          </w:divBdr>
          <w:divsChild>
            <w:div w:id="537818182">
              <w:marLeft w:val="0"/>
              <w:marRight w:val="0"/>
              <w:marTop w:val="0"/>
              <w:marBottom w:val="0"/>
              <w:divBdr>
                <w:top w:val="none" w:sz="0" w:space="0" w:color="auto"/>
                <w:left w:val="none" w:sz="0" w:space="0" w:color="auto"/>
                <w:bottom w:val="none" w:sz="0" w:space="0" w:color="auto"/>
                <w:right w:val="none" w:sz="0" w:space="0" w:color="auto"/>
              </w:divBdr>
            </w:div>
            <w:div w:id="949774502">
              <w:marLeft w:val="0"/>
              <w:marRight w:val="0"/>
              <w:marTop w:val="0"/>
              <w:marBottom w:val="0"/>
              <w:divBdr>
                <w:top w:val="none" w:sz="0" w:space="0" w:color="auto"/>
                <w:left w:val="none" w:sz="0" w:space="0" w:color="auto"/>
                <w:bottom w:val="none" w:sz="0" w:space="0" w:color="auto"/>
                <w:right w:val="none" w:sz="0" w:space="0" w:color="auto"/>
              </w:divBdr>
            </w:div>
            <w:div w:id="1120413880">
              <w:marLeft w:val="0"/>
              <w:marRight w:val="0"/>
              <w:marTop w:val="0"/>
              <w:marBottom w:val="0"/>
              <w:divBdr>
                <w:top w:val="none" w:sz="0" w:space="0" w:color="auto"/>
                <w:left w:val="none" w:sz="0" w:space="0" w:color="auto"/>
                <w:bottom w:val="none" w:sz="0" w:space="0" w:color="auto"/>
                <w:right w:val="none" w:sz="0" w:space="0" w:color="auto"/>
              </w:divBdr>
            </w:div>
            <w:div w:id="12281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9250">
      <w:bodyDiv w:val="1"/>
      <w:marLeft w:val="0"/>
      <w:marRight w:val="0"/>
      <w:marTop w:val="0"/>
      <w:marBottom w:val="0"/>
      <w:divBdr>
        <w:top w:val="none" w:sz="0" w:space="0" w:color="auto"/>
        <w:left w:val="none" w:sz="0" w:space="0" w:color="auto"/>
        <w:bottom w:val="none" w:sz="0" w:space="0" w:color="auto"/>
        <w:right w:val="none" w:sz="0" w:space="0" w:color="auto"/>
      </w:divBdr>
      <w:divsChild>
        <w:div w:id="1447890156">
          <w:marLeft w:val="0"/>
          <w:marRight w:val="0"/>
          <w:marTop w:val="0"/>
          <w:marBottom w:val="0"/>
          <w:divBdr>
            <w:top w:val="none" w:sz="0" w:space="0" w:color="auto"/>
            <w:left w:val="none" w:sz="0" w:space="0" w:color="auto"/>
            <w:bottom w:val="none" w:sz="0" w:space="0" w:color="auto"/>
            <w:right w:val="none" w:sz="0" w:space="0" w:color="auto"/>
          </w:divBdr>
          <w:divsChild>
            <w:div w:id="126092474">
              <w:marLeft w:val="0"/>
              <w:marRight w:val="0"/>
              <w:marTop w:val="0"/>
              <w:marBottom w:val="0"/>
              <w:divBdr>
                <w:top w:val="none" w:sz="0" w:space="0" w:color="auto"/>
                <w:left w:val="none" w:sz="0" w:space="0" w:color="auto"/>
                <w:bottom w:val="none" w:sz="0" w:space="0" w:color="auto"/>
                <w:right w:val="none" w:sz="0" w:space="0" w:color="auto"/>
              </w:divBdr>
              <w:divsChild>
                <w:div w:id="475609436">
                  <w:marLeft w:val="0"/>
                  <w:marRight w:val="0"/>
                  <w:marTop w:val="0"/>
                  <w:marBottom w:val="0"/>
                  <w:divBdr>
                    <w:top w:val="none" w:sz="0" w:space="0" w:color="auto"/>
                    <w:left w:val="none" w:sz="0" w:space="0" w:color="auto"/>
                    <w:bottom w:val="none" w:sz="0" w:space="0" w:color="auto"/>
                    <w:right w:val="none" w:sz="0" w:space="0" w:color="auto"/>
                  </w:divBdr>
                  <w:divsChild>
                    <w:div w:id="120482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1621</Words>
  <Characters>9242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Model Contract-Drafting Style Guide for Law Firms and Law Departments</vt:lpstr>
    </vt:vector>
  </TitlesOfParts>
  <Company>AdamsDrafting</Company>
  <LinksUpToDate>false</LinksUpToDate>
  <CharactersWithSpaces>10842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Contract-Drafting Style Guide for Law Firms and Law Departments</dc:title>
  <dc:creator>Kenneth A. Adams</dc:creator>
  <cp:lastModifiedBy>Ken</cp:lastModifiedBy>
  <cp:revision>2</cp:revision>
  <dcterms:created xsi:type="dcterms:W3CDTF">2013-02-23T12:30:00Z</dcterms:created>
  <dcterms:modified xsi:type="dcterms:W3CDTF">2013-02-23T12:30:00Z</dcterms:modified>
</cp:coreProperties>
</file>