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FE73EC" w14:textId="37CA6391" w:rsidR="004E5AA3" w:rsidRPr="004E5AA3" w:rsidRDefault="00444F06" w:rsidP="00EA7245">
      <w:pPr>
        <w:pStyle w:val="Heading1"/>
        <w:spacing w:before="360"/>
        <w:rPr>
          <w:rFonts w:asciiTheme="minorHAnsi" w:hAnsiTheme="minorHAnsi" w:cstheme="minorHAnsi"/>
          <w:color w:val="000000" w:themeColor="text1"/>
          <w:szCs w:val="22"/>
          <w:specVanish/>
        </w:rPr>
      </w:pPr>
      <w:r>
        <w:rPr>
          <w:rFonts w:asciiTheme="minorHAnsi" w:hAnsiTheme="minorHAnsi" w:cstheme="minorHAnsi"/>
          <w:color w:val="000000" w:themeColor="text1"/>
          <w:szCs w:val="22"/>
        </w:rPr>
        <w:br/>
      </w:r>
      <w:r w:rsidR="0052187F">
        <w:rPr>
          <w:rFonts w:asciiTheme="minorHAnsi" w:hAnsiTheme="minorHAnsi" w:cstheme="minorHAnsi"/>
          <w:color w:val="000000" w:themeColor="text1"/>
          <w:szCs w:val="22"/>
        </w:rPr>
        <w:t>ARTICLE NAME HERE</w:t>
      </w:r>
    </w:p>
    <w:p w14:paraId="17B1E5ED" w14:textId="3E062E0A" w:rsidR="005006FA" w:rsidRDefault="0052187F" w:rsidP="00444F06">
      <w:pPr>
        <w:pStyle w:val="Heading2"/>
        <w:rPr>
          <w:rFonts w:asciiTheme="minorHAnsi" w:hAnsiTheme="minorHAnsi" w:cstheme="minorHAnsi"/>
          <w:color w:val="000000" w:themeColor="text1"/>
          <w:szCs w:val="22"/>
          <w:specVanish/>
        </w:rPr>
      </w:pPr>
      <w:r>
        <w:t>Section Name Here</w:t>
      </w:r>
    </w:p>
    <w:p w14:paraId="1ECE69A0" w14:textId="38BE51DB" w:rsidR="000C1773" w:rsidRDefault="000B0821" w:rsidP="000B0821">
      <w:pPr>
        <w:pStyle w:val="Heading8"/>
      </w:pPr>
      <w:r>
        <w:t xml:space="preserve">This is the text of a section. </w:t>
      </w:r>
      <w:r>
        <w:t>This is the text of a section.</w:t>
      </w:r>
      <w:r w:rsid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  <w:r w:rsidR="00340539" w:rsidRPr="00340539">
        <w:t xml:space="preserve"> </w:t>
      </w:r>
      <w:r w:rsidR="00340539">
        <w:t>This is the text of a section.</w:t>
      </w:r>
    </w:p>
    <w:p w14:paraId="559FF9C3" w14:textId="33763102" w:rsidR="00127BD6" w:rsidRPr="00444F06" w:rsidRDefault="00340539" w:rsidP="00444F06">
      <w:pPr>
        <w:pStyle w:val="Heading2"/>
      </w:pPr>
      <w:bookmarkStart w:id="0" w:name="_Ref282877215"/>
      <w:r>
        <w:t>Section Name Here</w:t>
      </w:r>
    </w:p>
    <w:p w14:paraId="753D8162" w14:textId="756588D3" w:rsidR="00127BD6" w:rsidRDefault="00D50FAF" w:rsidP="00444F06">
      <w:pPr>
        <w:pStyle w:val="Heading3"/>
      </w:pP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  <w:r w:rsidRPr="00D50FAF">
        <w:t xml:space="preserve"> </w:t>
      </w:r>
      <w:r>
        <w:t>This is the text of a subsection.</w:t>
      </w:r>
    </w:p>
    <w:p w14:paraId="53997ABF" w14:textId="7D9A7D27" w:rsidR="00127BD6" w:rsidRDefault="00D50FAF" w:rsidP="00444F06">
      <w:pPr>
        <w:pStyle w:val="Heading3"/>
      </w:pPr>
      <w:r>
        <w:t>This is the text of a</w:t>
      </w:r>
      <w:r>
        <w:t>nother</w:t>
      </w:r>
      <w:r>
        <w:t xml:space="preserve"> subsection.</w:t>
      </w:r>
      <w:r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</w:p>
    <w:p w14:paraId="4206CBD3" w14:textId="04F7C113" w:rsidR="00127BD6" w:rsidRDefault="00D50FAF" w:rsidP="00444F06">
      <w:pPr>
        <w:pStyle w:val="Heading3"/>
      </w:pPr>
      <w:r>
        <w:t xml:space="preserve">This is the text of </w:t>
      </w:r>
      <w:r>
        <w:t xml:space="preserve">yet </w:t>
      </w:r>
      <w:r>
        <w:t>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  <w:r w:rsidRPr="00D50FAF">
        <w:t xml:space="preserve"> </w:t>
      </w:r>
      <w:r>
        <w:t>This is the text of yet another subsection.</w:t>
      </w:r>
    </w:p>
    <w:p w14:paraId="19C640B6" w14:textId="75DB997F" w:rsidR="00127BD6" w:rsidRDefault="00D50FAF" w:rsidP="00444F06">
      <w:pPr>
        <w:pStyle w:val="Heading2"/>
      </w:pPr>
      <w:r>
        <w:t>Section Name Here</w:t>
      </w:r>
    </w:p>
    <w:p w14:paraId="65AD3E89" w14:textId="20B587EF" w:rsidR="00D30A04" w:rsidRDefault="00D50FAF" w:rsidP="002702F7">
      <w:pPr>
        <w:pStyle w:val="Heading3"/>
      </w:pPr>
      <w:r>
        <w:t>This is an introductory phrase</w:t>
      </w:r>
      <w:r w:rsidR="002702F7">
        <w:t xml:space="preserve"> that begins a subsection</w:t>
      </w:r>
      <w:r w:rsidR="00D30A04">
        <w:t>:</w:t>
      </w:r>
    </w:p>
    <w:p w14:paraId="4245055B" w14:textId="5B0F4D23" w:rsidR="00D30A04" w:rsidRDefault="00450E67" w:rsidP="00D30A04">
      <w:pPr>
        <w:pStyle w:val="Heading4"/>
      </w:pPr>
      <w:bookmarkStart w:id="1" w:name="_Hlk130294671"/>
      <w:r>
        <w:t>this is a first-level tabulated enumerated clause</w:t>
      </w:r>
      <w:bookmarkEnd w:id="1"/>
      <w:r w:rsidR="00D30A04">
        <w:t>;</w:t>
      </w:r>
    </w:p>
    <w:p w14:paraId="7D14D203" w14:textId="7EB2E258" w:rsidR="00450E67" w:rsidRDefault="00450E67" w:rsidP="00D30A04">
      <w:pPr>
        <w:pStyle w:val="Heading4"/>
      </w:pPr>
      <w:r>
        <w:t xml:space="preserve">this is </w:t>
      </w:r>
      <w:r w:rsidR="00A23E80">
        <w:t xml:space="preserve">another </w:t>
      </w:r>
      <w:r w:rsidR="002702F7">
        <w:t>first</w:t>
      </w:r>
      <w:r>
        <w:t>-level tabulated enumerated clause</w:t>
      </w:r>
      <w:r>
        <w:t>:</w:t>
      </w:r>
    </w:p>
    <w:p w14:paraId="780A31DE" w14:textId="77777777" w:rsidR="00CF2A19" w:rsidRDefault="00450E67" w:rsidP="00450E67">
      <w:pPr>
        <w:pStyle w:val="Heading5"/>
      </w:pPr>
      <w:r>
        <w:t xml:space="preserve">this is a </w:t>
      </w:r>
      <w:r w:rsidR="002702F7">
        <w:t>second</w:t>
      </w:r>
      <w:r>
        <w:t>-level tabulated enumerated clause</w:t>
      </w:r>
      <w:r w:rsidR="00CF2A19">
        <w:t>:</w:t>
      </w:r>
    </w:p>
    <w:p w14:paraId="55D37178" w14:textId="0CC3DBFA" w:rsidR="00CF2A19" w:rsidRDefault="00CF2A19" w:rsidP="00CF2A19">
      <w:pPr>
        <w:pStyle w:val="Heading6"/>
      </w:pPr>
      <w:r>
        <w:t xml:space="preserve">this is a </w:t>
      </w:r>
      <w:r>
        <w:t>third</w:t>
      </w:r>
      <w:r>
        <w:t>-level tabulated enumerated clause</w:t>
      </w:r>
      <w:r w:rsidR="00D30A04">
        <w:t>;</w:t>
      </w:r>
      <w:r>
        <w:t xml:space="preserve"> and</w:t>
      </w:r>
    </w:p>
    <w:p w14:paraId="01BDAF60" w14:textId="4ECD19BA" w:rsidR="002702F7" w:rsidRDefault="00CF2A19" w:rsidP="00CF2A19">
      <w:pPr>
        <w:pStyle w:val="Heading6"/>
      </w:pPr>
      <w:r>
        <w:t>this is a</w:t>
      </w:r>
      <w:r w:rsidR="00C93F59">
        <w:t>nother</w:t>
      </w:r>
      <w:r>
        <w:t xml:space="preserve"> third-level tabulated enumerated clause</w:t>
      </w:r>
      <w:r>
        <w:t>; and</w:t>
      </w:r>
    </w:p>
    <w:p w14:paraId="6CEB4A00" w14:textId="164751BA" w:rsidR="00D30A04" w:rsidRDefault="002702F7" w:rsidP="00450E67">
      <w:pPr>
        <w:pStyle w:val="Heading5"/>
      </w:pPr>
      <w:r>
        <w:t>this is a</w:t>
      </w:r>
      <w:r>
        <w:t>nother</w:t>
      </w:r>
      <w:r>
        <w:t xml:space="preserve"> second-level tabulated enumerated clause</w:t>
      </w:r>
      <w:r>
        <w:t>;</w:t>
      </w:r>
      <w:r w:rsidR="00D30A04">
        <w:t xml:space="preserve"> and</w:t>
      </w:r>
    </w:p>
    <w:p w14:paraId="1982C8F4" w14:textId="104B0794" w:rsidR="00D30A04" w:rsidRDefault="002702F7" w:rsidP="00D30A04">
      <w:pPr>
        <w:pStyle w:val="Heading4"/>
      </w:pPr>
      <w:r>
        <w:t>this is another first-level tabulated enumerated clause</w:t>
      </w:r>
      <w:r w:rsidR="0054419B">
        <w:t>.</w:t>
      </w:r>
    </w:p>
    <w:p w14:paraId="4197D345" w14:textId="77777777" w:rsidR="002702F7" w:rsidRDefault="002702F7" w:rsidP="002702F7">
      <w:pPr>
        <w:pStyle w:val="Heading3"/>
      </w:pPr>
      <w:bookmarkStart w:id="2" w:name="_Ref365967962"/>
      <w:bookmarkStart w:id="3" w:name="_Ref282021470"/>
      <w:bookmarkEnd w:id="0"/>
      <w:r>
        <w:t>This is the text of another subsection. 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r w:rsidRPr="00D50FAF">
        <w:t xml:space="preserve"> </w:t>
      </w:r>
      <w:r>
        <w:t>This is the text of another subsection.</w:t>
      </w:r>
      <w:bookmarkEnd w:id="2"/>
      <w:bookmarkEnd w:id="3"/>
    </w:p>
    <w:sectPr w:rsidR="002702F7" w:rsidSect="00792599">
      <w:footerReference w:type="defaul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1E01" w14:textId="77777777" w:rsidR="00E3754E" w:rsidRDefault="00E3754E" w:rsidP="00E41C4D">
      <w:pPr>
        <w:spacing w:after="0"/>
      </w:pPr>
      <w:r>
        <w:separator/>
      </w:r>
    </w:p>
  </w:endnote>
  <w:endnote w:type="continuationSeparator" w:id="0">
    <w:p w14:paraId="693668B1" w14:textId="77777777" w:rsidR="00E3754E" w:rsidRDefault="00E3754E" w:rsidP="00E41C4D">
      <w:pPr>
        <w:spacing w:after="0"/>
      </w:pPr>
      <w:r>
        <w:continuationSeparator/>
      </w:r>
    </w:p>
  </w:endnote>
  <w:endnote w:type="continuationNotice" w:id="1">
    <w:p w14:paraId="34FC3B3E" w14:textId="77777777" w:rsidR="00E3754E" w:rsidRDefault="00E375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75BF" w14:textId="77777777" w:rsidR="00961367" w:rsidRPr="005207E7" w:rsidRDefault="00000000" w:rsidP="0054419B">
    <w:pPr>
      <w:pStyle w:val="Footer"/>
      <w:jc w:val="center"/>
    </w:pPr>
    <w:sdt>
      <w:sdtPr>
        <w:id w:val="-12861904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1367" w:rsidRPr="005207E7">
          <w:fldChar w:fldCharType="begin"/>
        </w:r>
        <w:r w:rsidR="00961367" w:rsidRPr="005207E7">
          <w:instrText xml:space="preserve"> PAGE   \* MERGEFORMAT </w:instrText>
        </w:r>
        <w:r w:rsidR="00961367" w:rsidRPr="005207E7">
          <w:fldChar w:fldCharType="separate"/>
        </w:r>
        <w:r w:rsidR="003B1B20">
          <w:rPr>
            <w:noProof/>
          </w:rPr>
          <w:t>2</w:t>
        </w:r>
        <w:r w:rsidR="00961367" w:rsidRPr="005207E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A2D7" w14:textId="77777777" w:rsidR="00E3754E" w:rsidRDefault="00E3754E" w:rsidP="00E41C4D">
      <w:pPr>
        <w:spacing w:after="0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F531B61" w14:textId="77777777" w:rsidR="00E3754E" w:rsidRDefault="00E3754E" w:rsidP="00E41C4D">
      <w:pPr>
        <w:spacing w:after="0"/>
      </w:pPr>
      <w:r>
        <w:continuationSeparator/>
      </w:r>
    </w:p>
  </w:footnote>
  <w:footnote w:type="continuationNotice" w:id="1">
    <w:p w14:paraId="03DFEA93" w14:textId="77777777" w:rsidR="00E3754E" w:rsidRDefault="00E375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2AF"/>
    <w:multiLevelType w:val="multilevel"/>
    <w:tmpl w:val="B69E6978"/>
    <w:name w:val="MSCD Hanging-Indent Articles-Scheme 1"/>
    <w:lvl w:ilvl="0">
      <w:start w:val="1"/>
      <w:numFmt w:val="decimal"/>
      <w:pStyle w:val="Heading1"/>
      <w:suff w:val="nothing"/>
      <w:lvlText w:val="Article %1"/>
      <w:lvlJc w:val="left"/>
      <w:pPr>
        <w:ind w:left="0" w:firstLine="0"/>
      </w:pPr>
      <w:rPr>
        <w:b w:val="0"/>
        <w:i w:val="0"/>
        <w:caps w:val="0"/>
        <w:strike w:val="0"/>
        <w:dstrike w:val="0"/>
        <w:color w:val="010000"/>
        <w:u w:val="none"/>
        <w:effect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40"/>
        </w:tabs>
        <w:ind w:left="720" w:hanging="720"/>
      </w:pPr>
      <w:rPr>
        <w:b w:val="0"/>
        <w:i w:val="0"/>
        <w:strike w:val="0"/>
        <w:dstrike w:val="0"/>
        <w:color w:val="010000"/>
        <w:u w:val="none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250"/>
        </w:tabs>
        <w:ind w:left="810" w:hanging="360"/>
      </w:pPr>
      <w:rPr>
        <w:b w:val="0"/>
        <w:strike w:val="0"/>
        <w:dstrike w:val="0"/>
        <w:color w:val="010000"/>
        <w:u w:val="none"/>
        <w:effect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1440" w:hanging="720"/>
      </w:pPr>
      <w:rPr>
        <w:strike w:val="0"/>
        <w:dstrike w:val="0"/>
        <w:color w:val="010000"/>
        <w:u w:val="none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600"/>
        </w:tabs>
        <w:ind w:left="2160" w:hanging="720"/>
      </w:pPr>
      <w:rPr>
        <w:strike w:val="0"/>
        <w:dstrike w:val="0"/>
        <w:color w:val="010000"/>
        <w:u w:val="none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2880" w:hanging="720"/>
      </w:pPr>
      <w:rPr>
        <w:strike w:val="0"/>
        <w:dstrike w:val="0"/>
        <w:color w:val="010000"/>
        <w:u w:val="none"/>
        <w:effect w:val="no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5040"/>
        </w:tabs>
        <w:ind w:left="0" w:firstLine="0"/>
      </w:pPr>
      <w:rPr>
        <w:strike w:val="0"/>
        <w:dstrike w:val="0"/>
        <w:color w:val="010000"/>
        <w:u w:val="none"/>
        <w:effect w:val="no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5760"/>
        </w:tabs>
        <w:ind w:left="720" w:firstLine="0"/>
      </w:pPr>
      <w:rPr>
        <w:strike w:val="0"/>
        <w:dstrike w:val="0"/>
        <w:color w:val="010000"/>
        <w:u w:val="none"/>
        <w:effect w:val="no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480"/>
        </w:tabs>
        <w:ind w:left="0" w:firstLine="0"/>
      </w:pPr>
      <w:rPr>
        <w:strike w:val="0"/>
        <w:dstrike w:val="0"/>
        <w:color w:val="010000"/>
        <w:u w:val="none"/>
        <w:effect w:val="none"/>
      </w:rPr>
    </w:lvl>
  </w:abstractNum>
  <w:abstractNum w:abstractNumId="1" w15:restartNumberingAfterBreak="0">
    <w:nsid w:val="30156348"/>
    <w:multiLevelType w:val="multilevel"/>
    <w:tmpl w:val="62D26FA4"/>
    <w:name w:val="MSCD Hanging-Indent Sections-Scheme 12222"/>
    <w:lvl w:ilvl="0">
      <w:start w:val="16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1440" w:hanging="720"/>
      </w:pPr>
      <w:rPr>
        <w:rFonts w:hint="default"/>
        <w:color w:val="010000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160" w:hanging="720"/>
      </w:pPr>
      <w:rPr>
        <w:rFonts w:hint="default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880" w:hanging="720"/>
      </w:pPr>
      <w:rPr>
        <w:rFonts w:hint="default"/>
        <w:color w:val="010000"/>
        <w:u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10000"/>
        <w:u w:val="none"/>
      </w:rPr>
    </w:lvl>
  </w:abstractNum>
  <w:abstractNum w:abstractNumId="2" w15:restartNumberingAfterBreak="0">
    <w:nsid w:val="4E240BBA"/>
    <w:multiLevelType w:val="multilevel"/>
    <w:tmpl w:val="7D3E3A24"/>
    <w:name w:val="MSCD Hanging-Indent Sections-Scheme 1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b w:val="0"/>
        <w:i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1440" w:hanging="720"/>
      </w:pPr>
      <w:rPr>
        <w:color w:val="010000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160" w:hanging="720"/>
      </w:pPr>
      <w:rPr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880" w:hanging="720"/>
      </w:pPr>
      <w:rPr>
        <w:color w:val="01000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0" w:firstLine="0"/>
      </w:pPr>
      <w:rPr>
        <w:color w:val="010000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720" w:firstLine="0"/>
      </w:pPr>
      <w:rPr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0" w:firstLine="0"/>
      </w:pPr>
      <w:rPr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0" w:firstLine="0"/>
      </w:pPr>
      <w:rPr>
        <w:color w:val="010000"/>
        <w:u w:val="none"/>
      </w:rPr>
    </w:lvl>
  </w:abstractNum>
  <w:abstractNum w:abstractNumId="3" w15:restartNumberingAfterBreak="0">
    <w:nsid w:val="50424205"/>
    <w:multiLevelType w:val="multilevel"/>
    <w:tmpl w:val="E100476A"/>
    <w:name w:val="MSCD Sections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  <w:caps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color w:val="010000"/>
        <w:u w:val="none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color w:val="010000"/>
        <w:u w:val="none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caps w:val="0"/>
        <w:color w:val="010000"/>
        <w:u w:val="none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caps w:val="0"/>
        <w:color w:val="010000"/>
        <w:u w:val="none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caps w:val="0"/>
        <w:color w:val="010000"/>
        <w:u w:val="none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  <w:caps w:val="0"/>
        <w:color w:val="010000"/>
        <w:u w:val="none"/>
      </w:rPr>
    </w:lvl>
  </w:abstractNum>
  <w:abstractNum w:abstractNumId="4" w15:restartNumberingAfterBreak="0">
    <w:nsid w:val="516F679F"/>
    <w:multiLevelType w:val="multilevel"/>
    <w:tmpl w:val="7F7EAD2E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b w:val="0"/>
        <w:i w:val="0"/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b w:val="0"/>
        <w:i w:val="0"/>
        <w:caps w:val="0"/>
        <w:color w:val="010000"/>
        <w:u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1440" w:hanging="720"/>
      </w:pPr>
      <w:rPr>
        <w:caps w:val="0"/>
        <w:color w:val="010000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hanging="720"/>
      </w:pPr>
      <w:rPr>
        <w:caps w:val="0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160" w:hanging="720"/>
      </w:pPr>
      <w:rPr>
        <w:caps w:val="0"/>
        <w:color w:val="01000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0" w:firstLine="0"/>
      </w:pPr>
      <w:rPr>
        <w:caps w:val="0"/>
        <w:color w:val="010000"/>
        <w:u w:val="none"/>
      </w:rPr>
    </w:lvl>
  </w:abstractNum>
  <w:abstractNum w:abstractNumId="5" w15:restartNumberingAfterBreak="0">
    <w:nsid w:val="63A86D43"/>
    <w:multiLevelType w:val="multilevel"/>
    <w:tmpl w:val="6D302164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b w:val="0"/>
        <w:i w:val="0"/>
        <w:caps w:val="0"/>
        <w:color w:val="01000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b w:val="0"/>
        <w:i w:val="0"/>
        <w:color w:val="01000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720" w:hanging="360"/>
      </w:pPr>
      <w:rPr>
        <w:b w:val="0"/>
        <w:color w:val="01000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440" w:hanging="720"/>
      </w:pPr>
      <w:rPr>
        <w:color w:val="01000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2160" w:hanging="720"/>
      </w:pPr>
      <w:rPr>
        <w:color w:val="01000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2880" w:hanging="720"/>
      </w:pPr>
      <w:rPr>
        <w:color w:val="010000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0" w:firstLine="0"/>
      </w:pPr>
      <w:rPr>
        <w:color w:val="010000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720" w:firstLine="0"/>
      </w:pPr>
      <w:rPr>
        <w:color w:val="010000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0" w:firstLine="0"/>
      </w:pPr>
      <w:rPr>
        <w:color w:val="010000"/>
        <w:u w:val="none"/>
      </w:rPr>
    </w:lvl>
  </w:abstractNum>
  <w:abstractNum w:abstractNumId="6" w15:restartNumberingAfterBreak="0">
    <w:nsid w:val="69570D55"/>
    <w:multiLevelType w:val="multilevel"/>
    <w:tmpl w:val="09BCCCF4"/>
    <w:name w:val="(Unnamed Numbering Scheme)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998417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318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5826491">
    <w:abstractNumId w:val="5"/>
  </w:num>
  <w:num w:numId="4" w16cid:durableId="652876738">
    <w:abstractNumId w:val="0"/>
  </w:num>
  <w:num w:numId="5" w16cid:durableId="1664160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361287">
    <w:abstractNumId w:val="0"/>
  </w:num>
  <w:num w:numId="7" w16cid:durableId="1867863030">
    <w:abstractNumId w:val="0"/>
  </w:num>
  <w:num w:numId="8" w16cid:durableId="1311058250">
    <w:abstractNumId w:val="0"/>
  </w:num>
  <w:num w:numId="9" w16cid:durableId="814107588">
    <w:abstractNumId w:val="0"/>
  </w:num>
  <w:num w:numId="10" w16cid:durableId="513809292">
    <w:abstractNumId w:val="0"/>
  </w:num>
  <w:num w:numId="11" w16cid:durableId="155459134">
    <w:abstractNumId w:val="0"/>
  </w:num>
  <w:num w:numId="12" w16cid:durableId="1569000009">
    <w:abstractNumId w:val="0"/>
  </w:num>
  <w:num w:numId="13" w16cid:durableId="1867865688">
    <w:abstractNumId w:val="0"/>
  </w:num>
  <w:num w:numId="14" w16cid:durableId="1461923463">
    <w:abstractNumId w:val="0"/>
  </w:num>
  <w:num w:numId="15" w16cid:durableId="58788830">
    <w:abstractNumId w:val="0"/>
  </w:num>
  <w:num w:numId="16" w16cid:durableId="470366228">
    <w:abstractNumId w:val="0"/>
  </w:num>
  <w:num w:numId="17" w16cid:durableId="1080978043">
    <w:abstractNumId w:val="3"/>
  </w:num>
  <w:num w:numId="18" w16cid:durableId="1980334032">
    <w:abstractNumId w:val="0"/>
  </w:num>
  <w:num w:numId="19" w16cid:durableId="1058363203">
    <w:abstractNumId w:val="0"/>
  </w:num>
  <w:num w:numId="20" w16cid:durableId="1864976752">
    <w:abstractNumId w:val="0"/>
  </w:num>
  <w:num w:numId="21" w16cid:durableId="540241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352429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removePersonalInformation/>
  <w:removeDateAndTime/>
  <w:displayBackgroundShape/>
  <w:activeWritingStyle w:appName="MSWord" w:lang="en-US" w:vendorID="64" w:dllVersion="0" w:nlCheck="1" w:checkStyle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dedNumberingSchemes" w:val="&lt;?xml version=&quot;1.0&quot; encoding=&quot;utf-16&quot;?&gt;&lt;ArrayOfAddedNumberingScheme xmlns:xsi=&quot;http://www.w3.org/2001/XMLSchema-instance&quot; xmlns:xsd=&quot;http://www.w3.org/2001/XMLSchema&quot;&gt;&lt;AddedNumberingScheme&gt;&lt;SelectedNumberingScheme&gt;&lt;LastUpdatedBy&gt;MichelleGuyot&lt;/LastUpdatedBy&gt;&lt;LastUpdated&gt;2015-12-21T14:10:37&lt;/LastUpdated&gt;&lt;NumberingSchemeID&gt;163&lt;/NumberingSchemeID&gt;&lt;SortOrder&gt;0&lt;/SortOrder&gt;&lt;Name&gt;MSCD Hanging-Indent Articles&lt;/Name&gt;&lt;NameFrench&gt;MSCD Hanging-Indent Articles&lt;/NameFrench&gt;&lt;Description&gt;Prototype alternative numbering scheme for contract with articles, as recommended by Kenneth A. Adams. See help files.&lt;/Description&gt;&lt;FilterID&gt;1&lt;/FilterID&gt;&lt;FilterArray&gt;1&lt;/FilterArray&gt;&lt;DefaultNumberOfLevelsInTOC&gt;3&lt;/DefaultNumberOfLevelsInTOC&gt;&lt;CustomTOCAttached&gt;false&lt;/CustomTOCAttached&gt;&lt;DefaultTOCSchemeID&gt;0&lt;/DefaultTOCSchemeID&gt;&lt;BitMapID&gt;537&lt;/BitMapID&gt;&lt;Hidden&gt;false&lt;/Hidden&gt;&lt;ListIndexUsed&gt;0&lt;/ListIndexUsed&gt;&lt;CapturedDocument&gt;Document1&lt;/CapturedDocument&gt;&lt;CreatedByEndUser&gt;false&lt;/CreatedByEndUser&gt;&lt;ConnectionType&gt;Application&lt;/ConnectionType&gt;&lt;EnforceSchemeFont&gt;false&lt;/EnforceSchemeFont&gt;&lt;/SelectedNumberingScheme&gt;&lt;SelectedSchemeFilter&gt;&lt;LastUpdated&gt;0001-01-01T00:00:00&lt;/LastUpdated&gt;&lt;FilterID&gt;3&lt;/FilterID&gt;&lt;FilterName&gt;All Numbering Schemes&lt;/FilterName&gt;&lt;FilterNameFrench&gt;Tous les schémas de numérotation&lt;/FilterNameFrench&gt;&lt;UserDatabaseOnly&gt;false&lt;/UserDatabaseOnly&gt;&lt;Default&gt;true&lt;/Default&gt;&lt;SortPosition&gt;0&lt;/SortPosition&gt;&lt;/SelectedSchemeFilter&gt;&lt;SelectedNumberingSchemeOptions /&gt;&lt;Index&gt;1&lt;/Index&gt;&lt;/AddedNumberingScheme&gt;&lt;/ArrayOfAddedNumberingScheme&gt;"/>
    <w:docVar w:name="AddLineBreakFollowingCenteredHeading 1" w:val="True"/>
    <w:docVar w:name="AddLineBreakFollowingCenteredHeadings" w:val="True"/>
    <w:docVar w:name="DefaultNumberOfLevelsInTOCForThisScheme" w:val="3"/>
    <w:docVar w:name="EnforceSchemeFont" w:val="False"/>
    <w:docVar w:name="LastSchemeChoice" w:val="MSCD Hanging-Indent Articles"/>
    <w:docVar w:name="LastSchemeUniqueID" w:val="163"/>
    <w:docVar w:name="LegacyNa" w:val="False"/>
  </w:docVars>
  <w:rsids>
    <w:rsidRoot w:val="00452191"/>
    <w:rsid w:val="000138A4"/>
    <w:rsid w:val="000147B0"/>
    <w:rsid w:val="00014F47"/>
    <w:rsid w:val="0001657F"/>
    <w:rsid w:val="00020074"/>
    <w:rsid w:val="00020328"/>
    <w:rsid w:val="00020671"/>
    <w:rsid w:val="000371E0"/>
    <w:rsid w:val="0005081B"/>
    <w:rsid w:val="000527D0"/>
    <w:rsid w:val="000546D2"/>
    <w:rsid w:val="00057FEF"/>
    <w:rsid w:val="00061888"/>
    <w:rsid w:val="0006486D"/>
    <w:rsid w:val="0007382A"/>
    <w:rsid w:val="0008784A"/>
    <w:rsid w:val="00091BEA"/>
    <w:rsid w:val="00093B9A"/>
    <w:rsid w:val="000A321C"/>
    <w:rsid w:val="000A4B4F"/>
    <w:rsid w:val="000B0821"/>
    <w:rsid w:val="000C1773"/>
    <w:rsid w:val="000D2310"/>
    <w:rsid w:val="000D59B6"/>
    <w:rsid w:val="000D6E4D"/>
    <w:rsid w:val="000E17D7"/>
    <w:rsid w:val="000E2A2A"/>
    <w:rsid w:val="000E54E3"/>
    <w:rsid w:val="000E7B4E"/>
    <w:rsid w:val="000F1E38"/>
    <w:rsid w:val="000F4C05"/>
    <w:rsid w:val="00103700"/>
    <w:rsid w:val="0010631C"/>
    <w:rsid w:val="00115E9C"/>
    <w:rsid w:val="00117462"/>
    <w:rsid w:val="001219F1"/>
    <w:rsid w:val="001229F3"/>
    <w:rsid w:val="0012653E"/>
    <w:rsid w:val="00127BD6"/>
    <w:rsid w:val="00135339"/>
    <w:rsid w:val="0013777E"/>
    <w:rsid w:val="00147CCE"/>
    <w:rsid w:val="00151966"/>
    <w:rsid w:val="00151B06"/>
    <w:rsid w:val="00151EDE"/>
    <w:rsid w:val="00152DB6"/>
    <w:rsid w:val="0016187F"/>
    <w:rsid w:val="00162BD4"/>
    <w:rsid w:val="001701C5"/>
    <w:rsid w:val="001712C4"/>
    <w:rsid w:val="00177CD4"/>
    <w:rsid w:val="00184362"/>
    <w:rsid w:val="0018706B"/>
    <w:rsid w:val="00191DD7"/>
    <w:rsid w:val="00192D87"/>
    <w:rsid w:val="001A3530"/>
    <w:rsid w:val="001A631F"/>
    <w:rsid w:val="001B70D5"/>
    <w:rsid w:val="001C13FE"/>
    <w:rsid w:val="001C1718"/>
    <w:rsid w:val="001C28C1"/>
    <w:rsid w:val="001E06A8"/>
    <w:rsid w:val="001E528C"/>
    <w:rsid w:val="001F35B5"/>
    <w:rsid w:val="001F486C"/>
    <w:rsid w:val="00202B2A"/>
    <w:rsid w:val="00203683"/>
    <w:rsid w:val="00206AB9"/>
    <w:rsid w:val="002077F7"/>
    <w:rsid w:val="002173CE"/>
    <w:rsid w:val="002217F7"/>
    <w:rsid w:val="00225D1C"/>
    <w:rsid w:val="00232556"/>
    <w:rsid w:val="00233527"/>
    <w:rsid w:val="002366BE"/>
    <w:rsid w:val="00244B60"/>
    <w:rsid w:val="0025209D"/>
    <w:rsid w:val="002526D8"/>
    <w:rsid w:val="00253CF7"/>
    <w:rsid w:val="00255030"/>
    <w:rsid w:val="002574D2"/>
    <w:rsid w:val="00260E22"/>
    <w:rsid w:val="00262895"/>
    <w:rsid w:val="002642C8"/>
    <w:rsid w:val="00265EF4"/>
    <w:rsid w:val="00265F55"/>
    <w:rsid w:val="002702F7"/>
    <w:rsid w:val="0027192F"/>
    <w:rsid w:val="00276F44"/>
    <w:rsid w:val="00276F75"/>
    <w:rsid w:val="002907E6"/>
    <w:rsid w:val="002A7441"/>
    <w:rsid w:val="002B6AAD"/>
    <w:rsid w:val="002C10EE"/>
    <w:rsid w:val="002C144D"/>
    <w:rsid w:val="002D3011"/>
    <w:rsid w:val="002F374F"/>
    <w:rsid w:val="002F6F12"/>
    <w:rsid w:val="0030342D"/>
    <w:rsid w:val="0030458E"/>
    <w:rsid w:val="00306767"/>
    <w:rsid w:val="003117B1"/>
    <w:rsid w:val="00311E9B"/>
    <w:rsid w:val="00321D21"/>
    <w:rsid w:val="00323D09"/>
    <w:rsid w:val="00324F6D"/>
    <w:rsid w:val="00337E60"/>
    <w:rsid w:val="00340539"/>
    <w:rsid w:val="00340E3D"/>
    <w:rsid w:val="0034403A"/>
    <w:rsid w:val="003611F7"/>
    <w:rsid w:val="00367D77"/>
    <w:rsid w:val="0039025E"/>
    <w:rsid w:val="00393922"/>
    <w:rsid w:val="003A1512"/>
    <w:rsid w:val="003A2462"/>
    <w:rsid w:val="003A7143"/>
    <w:rsid w:val="003B1B20"/>
    <w:rsid w:val="003B442B"/>
    <w:rsid w:val="003B637F"/>
    <w:rsid w:val="003C252E"/>
    <w:rsid w:val="003C2971"/>
    <w:rsid w:val="003C7111"/>
    <w:rsid w:val="003D055D"/>
    <w:rsid w:val="003D1D71"/>
    <w:rsid w:val="003D4D75"/>
    <w:rsid w:val="003D4FB7"/>
    <w:rsid w:val="00402A81"/>
    <w:rsid w:val="00404881"/>
    <w:rsid w:val="00405DE6"/>
    <w:rsid w:val="0040662D"/>
    <w:rsid w:val="004075E4"/>
    <w:rsid w:val="004132FE"/>
    <w:rsid w:val="0041728E"/>
    <w:rsid w:val="004232F1"/>
    <w:rsid w:val="00425E6A"/>
    <w:rsid w:val="00430767"/>
    <w:rsid w:val="00430C1C"/>
    <w:rsid w:val="0043650B"/>
    <w:rsid w:val="00442D38"/>
    <w:rsid w:val="00444F06"/>
    <w:rsid w:val="0045058C"/>
    <w:rsid w:val="00450E67"/>
    <w:rsid w:val="00452191"/>
    <w:rsid w:val="00454A87"/>
    <w:rsid w:val="00455B31"/>
    <w:rsid w:val="00456636"/>
    <w:rsid w:val="00461BC5"/>
    <w:rsid w:val="00464342"/>
    <w:rsid w:val="00464E03"/>
    <w:rsid w:val="004656B4"/>
    <w:rsid w:val="004701AC"/>
    <w:rsid w:val="00473477"/>
    <w:rsid w:val="0048102D"/>
    <w:rsid w:val="00482AFA"/>
    <w:rsid w:val="00482F39"/>
    <w:rsid w:val="004835D8"/>
    <w:rsid w:val="004847A2"/>
    <w:rsid w:val="00485CA0"/>
    <w:rsid w:val="00486B2F"/>
    <w:rsid w:val="00492051"/>
    <w:rsid w:val="004929F0"/>
    <w:rsid w:val="004948D5"/>
    <w:rsid w:val="004A2648"/>
    <w:rsid w:val="004A3153"/>
    <w:rsid w:val="004B04D4"/>
    <w:rsid w:val="004B111C"/>
    <w:rsid w:val="004B218F"/>
    <w:rsid w:val="004B76E9"/>
    <w:rsid w:val="004C1A02"/>
    <w:rsid w:val="004C5E0D"/>
    <w:rsid w:val="004D22C2"/>
    <w:rsid w:val="004D2D44"/>
    <w:rsid w:val="004E4C5C"/>
    <w:rsid w:val="004E5AA3"/>
    <w:rsid w:val="004F00DF"/>
    <w:rsid w:val="0050038D"/>
    <w:rsid w:val="005006FA"/>
    <w:rsid w:val="005026F8"/>
    <w:rsid w:val="005207E7"/>
    <w:rsid w:val="0052187F"/>
    <w:rsid w:val="00524A36"/>
    <w:rsid w:val="00534793"/>
    <w:rsid w:val="0054419B"/>
    <w:rsid w:val="00545B7B"/>
    <w:rsid w:val="00580D41"/>
    <w:rsid w:val="005B6831"/>
    <w:rsid w:val="005B7C4D"/>
    <w:rsid w:val="005C4615"/>
    <w:rsid w:val="005C47B1"/>
    <w:rsid w:val="005D0A1A"/>
    <w:rsid w:val="005D0EA1"/>
    <w:rsid w:val="005D319C"/>
    <w:rsid w:val="005E1153"/>
    <w:rsid w:val="005E1731"/>
    <w:rsid w:val="005E1C4A"/>
    <w:rsid w:val="006016C8"/>
    <w:rsid w:val="006073EC"/>
    <w:rsid w:val="00607C2A"/>
    <w:rsid w:val="00611B77"/>
    <w:rsid w:val="00617596"/>
    <w:rsid w:val="00632785"/>
    <w:rsid w:val="0064777E"/>
    <w:rsid w:val="00652E64"/>
    <w:rsid w:val="00657400"/>
    <w:rsid w:val="00672599"/>
    <w:rsid w:val="006744BC"/>
    <w:rsid w:val="006842F9"/>
    <w:rsid w:val="006928B2"/>
    <w:rsid w:val="00692C45"/>
    <w:rsid w:val="006A18F1"/>
    <w:rsid w:val="006A7152"/>
    <w:rsid w:val="006B2CD9"/>
    <w:rsid w:val="006B7FC5"/>
    <w:rsid w:val="006C536B"/>
    <w:rsid w:val="006C565A"/>
    <w:rsid w:val="006D0079"/>
    <w:rsid w:val="006D60F7"/>
    <w:rsid w:val="006E0F4B"/>
    <w:rsid w:val="006E5422"/>
    <w:rsid w:val="006E6967"/>
    <w:rsid w:val="00713D33"/>
    <w:rsid w:val="00736C0D"/>
    <w:rsid w:val="00742164"/>
    <w:rsid w:val="00747598"/>
    <w:rsid w:val="00754BF1"/>
    <w:rsid w:val="00756177"/>
    <w:rsid w:val="0076691C"/>
    <w:rsid w:val="0076772F"/>
    <w:rsid w:val="007730AE"/>
    <w:rsid w:val="0078104D"/>
    <w:rsid w:val="00782A88"/>
    <w:rsid w:val="00790F9B"/>
    <w:rsid w:val="00792599"/>
    <w:rsid w:val="00797D1E"/>
    <w:rsid w:val="007A1E46"/>
    <w:rsid w:val="007B16AB"/>
    <w:rsid w:val="007B5B25"/>
    <w:rsid w:val="007B7CD5"/>
    <w:rsid w:val="007C517F"/>
    <w:rsid w:val="007D026B"/>
    <w:rsid w:val="007D603F"/>
    <w:rsid w:val="007D7DAA"/>
    <w:rsid w:val="007E2EA1"/>
    <w:rsid w:val="007F1F22"/>
    <w:rsid w:val="007F5B7E"/>
    <w:rsid w:val="007F7BC8"/>
    <w:rsid w:val="008002B0"/>
    <w:rsid w:val="00822313"/>
    <w:rsid w:val="008309A1"/>
    <w:rsid w:val="008316C6"/>
    <w:rsid w:val="008338A8"/>
    <w:rsid w:val="00834735"/>
    <w:rsid w:val="00852694"/>
    <w:rsid w:val="00854876"/>
    <w:rsid w:val="00855DCB"/>
    <w:rsid w:val="00856071"/>
    <w:rsid w:val="008565BF"/>
    <w:rsid w:val="008641B5"/>
    <w:rsid w:val="00870BDB"/>
    <w:rsid w:val="00885D72"/>
    <w:rsid w:val="00886652"/>
    <w:rsid w:val="008916DB"/>
    <w:rsid w:val="00893173"/>
    <w:rsid w:val="00897BB0"/>
    <w:rsid w:val="008A0356"/>
    <w:rsid w:val="008A248C"/>
    <w:rsid w:val="008A3FF6"/>
    <w:rsid w:val="008A7FE6"/>
    <w:rsid w:val="008B2E93"/>
    <w:rsid w:val="008B60C6"/>
    <w:rsid w:val="008C0A94"/>
    <w:rsid w:val="008C16C3"/>
    <w:rsid w:val="008C7BD5"/>
    <w:rsid w:val="008D329F"/>
    <w:rsid w:val="008D45DF"/>
    <w:rsid w:val="008D5AF6"/>
    <w:rsid w:val="008D6843"/>
    <w:rsid w:val="008E1891"/>
    <w:rsid w:val="008E18AB"/>
    <w:rsid w:val="00900F2D"/>
    <w:rsid w:val="00911448"/>
    <w:rsid w:val="0091631A"/>
    <w:rsid w:val="00916C02"/>
    <w:rsid w:val="00926EC5"/>
    <w:rsid w:val="00934CAD"/>
    <w:rsid w:val="009408E7"/>
    <w:rsid w:val="0094142D"/>
    <w:rsid w:val="009449D7"/>
    <w:rsid w:val="009527F0"/>
    <w:rsid w:val="00961367"/>
    <w:rsid w:val="009642B2"/>
    <w:rsid w:val="00965348"/>
    <w:rsid w:val="00976D67"/>
    <w:rsid w:val="00983881"/>
    <w:rsid w:val="009906E8"/>
    <w:rsid w:val="00991297"/>
    <w:rsid w:val="009A1230"/>
    <w:rsid w:val="009A5AAD"/>
    <w:rsid w:val="009B2FEA"/>
    <w:rsid w:val="009C050C"/>
    <w:rsid w:val="009C5E65"/>
    <w:rsid w:val="009C79BD"/>
    <w:rsid w:val="009D11B2"/>
    <w:rsid w:val="009D6254"/>
    <w:rsid w:val="009F1055"/>
    <w:rsid w:val="009F68AE"/>
    <w:rsid w:val="009F6975"/>
    <w:rsid w:val="009F762A"/>
    <w:rsid w:val="00A01DF7"/>
    <w:rsid w:val="00A03AF3"/>
    <w:rsid w:val="00A04DAB"/>
    <w:rsid w:val="00A07515"/>
    <w:rsid w:val="00A07D3C"/>
    <w:rsid w:val="00A1562C"/>
    <w:rsid w:val="00A201F1"/>
    <w:rsid w:val="00A23E80"/>
    <w:rsid w:val="00A30033"/>
    <w:rsid w:val="00A33E54"/>
    <w:rsid w:val="00A35BF7"/>
    <w:rsid w:val="00A40105"/>
    <w:rsid w:val="00A479A4"/>
    <w:rsid w:val="00A501FA"/>
    <w:rsid w:val="00A517BA"/>
    <w:rsid w:val="00A53DD0"/>
    <w:rsid w:val="00A811B4"/>
    <w:rsid w:val="00A976C6"/>
    <w:rsid w:val="00AA6CC5"/>
    <w:rsid w:val="00AB5A2B"/>
    <w:rsid w:val="00AB5F4F"/>
    <w:rsid w:val="00AC47DD"/>
    <w:rsid w:val="00AD07E7"/>
    <w:rsid w:val="00AD1B88"/>
    <w:rsid w:val="00AD29B0"/>
    <w:rsid w:val="00AD561C"/>
    <w:rsid w:val="00AD79E0"/>
    <w:rsid w:val="00AE4D51"/>
    <w:rsid w:val="00AE4FFC"/>
    <w:rsid w:val="00AE5536"/>
    <w:rsid w:val="00AE6BC7"/>
    <w:rsid w:val="00AE72BB"/>
    <w:rsid w:val="00AF2D25"/>
    <w:rsid w:val="00AF4A63"/>
    <w:rsid w:val="00AF504D"/>
    <w:rsid w:val="00AF57EC"/>
    <w:rsid w:val="00AF78E2"/>
    <w:rsid w:val="00B00AFA"/>
    <w:rsid w:val="00B07F93"/>
    <w:rsid w:val="00B33FD9"/>
    <w:rsid w:val="00B37A36"/>
    <w:rsid w:val="00B43B76"/>
    <w:rsid w:val="00B46483"/>
    <w:rsid w:val="00B50CB5"/>
    <w:rsid w:val="00B513AB"/>
    <w:rsid w:val="00B52EEF"/>
    <w:rsid w:val="00B5514F"/>
    <w:rsid w:val="00B56156"/>
    <w:rsid w:val="00B563B7"/>
    <w:rsid w:val="00B613C1"/>
    <w:rsid w:val="00B62373"/>
    <w:rsid w:val="00B66E9B"/>
    <w:rsid w:val="00B72881"/>
    <w:rsid w:val="00B74CEC"/>
    <w:rsid w:val="00B7759E"/>
    <w:rsid w:val="00B81EE3"/>
    <w:rsid w:val="00B90CD8"/>
    <w:rsid w:val="00B975D7"/>
    <w:rsid w:val="00BA2A8D"/>
    <w:rsid w:val="00BB2946"/>
    <w:rsid w:val="00BB49A1"/>
    <w:rsid w:val="00BB5D95"/>
    <w:rsid w:val="00BB78D7"/>
    <w:rsid w:val="00BC003E"/>
    <w:rsid w:val="00BC1DA4"/>
    <w:rsid w:val="00BC20E4"/>
    <w:rsid w:val="00BD03EA"/>
    <w:rsid w:val="00BD18A3"/>
    <w:rsid w:val="00BD58BB"/>
    <w:rsid w:val="00BD7FFD"/>
    <w:rsid w:val="00BE1249"/>
    <w:rsid w:val="00BE4410"/>
    <w:rsid w:val="00BE7775"/>
    <w:rsid w:val="00BF32DB"/>
    <w:rsid w:val="00BF4655"/>
    <w:rsid w:val="00C02298"/>
    <w:rsid w:val="00C107E1"/>
    <w:rsid w:val="00C11268"/>
    <w:rsid w:val="00C3067F"/>
    <w:rsid w:val="00C30E78"/>
    <w:rsid w:val="00C31482"/>
    <w:rsid w:val="00C32E29"/>
    <w:rsid w:val="00C362F9"/>
    <w:rsid w:val="00C57890"/>
    <w:rsid w:val="00C61EA6"/>
    <w:rsid w:val="00C71F1F"/>
    <w:rsid w:val="00C727DA"/>
    <w:rsid w:val="00C75D35"/>
    <w:rsid w:val="00C91B71"/>
    <w:rsid w:val="00C93F59"/>
    <w:rsid w:val="00C9542A"/>
    <w:rsid w:val="00CA1C57"/>
    <w:rsid w:val="00CB158B"/>
    <w:rsid w:val="00CD12C6"/>
    <w:rsid w:val="00CD1C46"/>
    <w:rsid w:val="00CD329C"/>
    <w:rsid w:val="00CD3EF0"/>
    <w:rsid w:val="00CD507D"/>
    <w:rsid w:val="00CD6120"/>
    <w:rsid w:val="00CE301F"/>
    <w:rsid w:val="00CF1EE5"/>
    <w:rsid w:val="00CF2A19"/>
    <w:rsid w:val="00CF4FE3"/>
    <w:rsid w:val="00CF77EE"/>
    <w:rsid w:val="00D015EF"/>
    <w:rsid w:val="00D20ECA"/>
    <w:rsid w:val="00D22CC2"/>
    <w:rsid w:val="00D27EFE"/>
    <w:rsid w:val="00D30A04"/>
    <w:rsid w:val="00D335D6"/>
    <w:rsid w:val="00D426CE"/>
    <w:rsid w:val="00D4454D"/>
    <w:rsid w:val="00D50FAF"/>
    <w:rsid w:val="00D5343B"/>
    <w:rsid w:val="00D5624A"/>
    <w:rsid w:val="00D60F4E"/>
    <w:rsid w:val="00D63500"/>
    <w:rsid w:val="00D73ED1"/>
    <w:rsid w:val="00D82AAF"/>
    <w:rsid w:val="00D82EF7"/>
    <w:rsid w:val="00D87EAE"/>
    <w:rsid w:val="00DA0200"/>
    <w:rsid w:val="00DA0B60"/>
    <w:rsid w:val="00DA1A2F"/>
    <w:rsid w:val="00DA4068"/>
    <w:rsid w:val="00DA561D"/>
    <w:rsid w:val="00DB1ACD"/>
    <w:rsid w:val="00DB3FFB"/>
    <w:rsid w:val="00DB4950"/>
    <w:rsid w:val="00DB73A5"/>
    <w:rsid w:val="00DC24AD"/>
    <w:rsid w:val="00DD6C37"/>
    <w:rsid w:val="00DE15E4"/>
    <w:rsid w:val="00DF4842"/>
    <w:rsid w:val="00DF5145"/>
    <w:rsid w:val="00E02B48"/>
    <w:rsid w:val="00E14EBF"/>
    <w:rsid w:val="00E345D6"/>
    <w:rsid w:val="00E3754E"/>
    <w:rsid w:val="00E41C4D"/>
    <w:rsid w:val="00E5524B"/>
    <w:rsid w:val="00E60E8A"/>
    <w:rsid w:val="00E610A6"/>
    <w:rsid w:val="00E6407E"/>
    <w:rsid w:val="00E75FC4"/>
    <w:rsid w:val="00E86537"/>
    <w:rsid w:val="00E87CEE"/>
    <w:rsid w:val="00E90176"/>
    <w:rsid w:val="00E9327C"/>
    <w:rsid w:val="00EA348E"/>
    <w:rsid w:val="00EA7245"/>
    <w:rsid w:val="00EB1B6C"/>
    <w:rsid w:val="00EB1CC9"/>
    <w:rsid w:val="00EB594E"/>
    <w:rsid w:val="00EB61C8"/>
    <w:rsid w:val="00EC1F28"/>
    <w:rsid w:val="00EC279C"/>
    <w:rsid w:val="00EC3F39"/>
    <w:rsid w:val="00EC42A0"/>
    <w:rsid w:val="00ED490D"/>
    <w:rsid w:val="00ED7506"/>
    <w:rsid w:val="00EE18F3"/>
    <w:rsid w:val="00EF34F3"/>
    <w:rsid w:val="00EF3F9F"/>
    <w:rsid w:val="00F023C2"/>
    <w:rsid w:val="00F02C74"/>
    <w:rsid w:val="00F04350"/>
    <w:rsid w:val="00F11128"/>
    <w:rsid w:val="00F21C34"/>
    <w:rsid w:val="00F34CD0"/>
    <w:rsid w:val="00F40C5D"/>
    <w:rsid w:val="00F41531"/>
    <w:rsid w:val="00F44383"/>
    <w:rsid w:val="00F66DAE"/>
    <w:rsid w:val="00F73698"/>
    <w:rsid w:val="00F80562"/>
    <w:rsid w:val="00F833C8"/>
    <w:rsid w:val="00F83B16"/>
    <w:rsid w:val="00F946EB"/>
    <w:rsid w:val="00F96EB2"/>
    <w:rsid w:val="00FA4731"/>
    <w:rsid w:val="00FA50E1"/>
    <w:rsid w:val="00FC021A"/>
    <w:rsid w:val="00FC6508"/>
    <w:rsid w:val="00FE2C18"/>
    <w:rsid w:val="00FE4033"/>
    <w:rsid w:val="00FE532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A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91"/>
    <w:pPr>
      <w:spacing w:after="200" w:line="240" w:lineRule="auto"/>
    </w:pPr>
    <w:rPr>
      <w:rFonts w:ascii="Calibri" w:hAnsi="Calibri"/>
    </w:rPr>
  </w:style>
  <w:style w:type="paragraph" w:styleId="Heading1">
    <w:name w:val="heading 1"/>
    <w:basedOn w:val="Normal"/>
    <w:next w:val="BodyText"/>
    <w:link w:val="Heading1Char"/>
    <w:qFormat/>
    <w:rsid w:val="00444F06"/>
    <w:pPr>
      <w:keepNext/>
      <w:numPr>
        <w:numId w:val="4"/>
      </w:numPr>
      <w:jc w:val="center"/>
      <w:outlineLvl w:val="0"/>
    </w:pPr>
    <w:rPr>
      <w:rFonts w:eastAsiaTheme="majorEastAsia" w:cs="Calibri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444F06"/>
    <w:pPr>
      <w:keepNext/>
      <w:numPr>
        <w:ilvl w:val="1"/>
        <w:numId w:val="4"/>
      </w:numPr>
      <w:tabs>
        <w:tab w:val="left" w:pos="1440"/>
      </w:tabs>
      <w:outlineLvl w:val="1"/>
    </w:pPr>
    <w:rPr>
      <w:rFonts w:eastAsiaTheme="majorEastAsia" w:cs="Calibri"/>
      <w:b/>
      <w:szCs w:val="26"/>
    </w:rPr>
  </w:style>
  <w:style w:type="paragraph" w:styleId="Heading3">
    <w:name w:val="heading 3"/>
    <w:basedOn w:val="Normal"/>
    <w:next w:val="BodyText"/>
    <w:link w:val="Heading3Char"/>
    <w:unhideWhenUsed/>
    <w:qFormat/>
    <w:rsid w:val="00444F06"/>
    <w:pPr>
      <w:numPr>
        <w:ilvl w:val="2"/>
        <w:numId w:val="4"/>
      </w:numPr>
      <w:tabs>
        <w:tab w:val="left" w:pos="2160"/>
      </w:tabs>
      <w:outlineLvl w:val="2"/>
    </w:pPr>
    <w:rPr>
      <w:rFonts w:eastAsiaTheme="majorEastAsia" w:cs="Calibri"/>
      <w:szCs w:val="24"/>
    </w:rPr>
  </w:style>
  <w:style w:type="paragraph" w:styleId="Heading4">
    <w:name w:val="heading 4"/>
    <w:basedOn w:val="Normal"/>
    <w:next w:val="BodyText"/>
    <w:link w:val="Heading4Char"/>
    <w:unhideWhenUsed/>
    <w:qFormat/>
    <w:rsid w:val="00444F06"/>
    <w:pPr>
      <w:numPr>
        <w:ilvl w:val="3"/>
        <w:numId w:val="4"/>
      </w:numPr>
      <w:tabs>
        <w:tab w:val="left" w:pos="2880"/>
      </w:tabs>
      <w:outlineLvl w:val="3"/>
    </w:pPr>
    <w:rPr>
      <w:rFonts w:eastAsiaTheme="majorEastAsia" w:cs="Calibri"/>
      <w:iCs/>
    </w:rPr>
  </w:style>
  <w:style w:type="paragraph" w:styleId="Heading5">
    <w:name w:val="heading 5"/>
    <w:basedOn w:val="Normal"/>
    <w:next w:val="BodyText"/>
    <w:link w:val="Heading5Char"/>
    <w:unhideWhenUsed/>
    <w:qFormat/>
    <w:rsid w:val="00444F06"/>
    <w:pPr>
      <w:numPr>
        <w:ilvl w:val="4"/>
        <w:numId w:val="4"/>
      </w:numPr>
      <w:tabs>
        <w:tab w:val="left" w:pos="3600"/>
      </w:tabs>
      <w:outlineLvl w:val="4"/>
    </w:pPr>
    <w:rPr>
      <w:rFonts w:eastAsiaTheme="majorEastAsia" w:cs="Calibri"/>
    </w:rPr>
  </w:style>
  <w:style w:type="paragraph" w:styleId="Heading6">
    <w:name w:val="heading 6"/>
    <w:basedOn w:val="Normal"/>
    <w:next w:val="BodyText"/>
    <w:link w:val="Heading6Char"/>
    <w:unhideWhenUsed/>
    <w:qFormat/>
    <w:rsid w:val="00444F06"/>
    <w:pPr>
      <w:numPr>
        <w:ilvl w:val="5"/>
        <w:numId w:val="4"/>
      </w:numPr>
      <w:tabs>
        <w:tab w:val="left" w:pos="4320"/>
      </w:tabs>
      <w:spacing w:after="240"/>
      <w:outlineLvl w:val="5"/>
    </w:pPr>
    <w:rPr>
      <w:rFonts w:eastAsiaTheme="majorEastAsia" w:cs="Calibri"/>
    </w:rPr>
  </w:style>
  <w:style w:type="paragraph" w:styleId="Heading7">
    <w:name w:val="heading 7"/>
    <w:basedOn w:val="Normal"/>
    <w:next w:val="BodyText"/>
    <w:link w:val="Heading7Char"/>
    <w:unhideWhenUsed/>
    <w:qFormat/>
    <w:rsid w:val="00444F06"/>
    <w:pPr>
      <w:numPr>
        <w:ilvl w:val="6"/>
        <w:numId w:val="4"/>
      </w:numPr>
      <w:tabs>
        <w:tab w:val="left" w:pos="5040"/>
      </w:tabs>
      <w:outlineLvl w:val="6"/>
    </w:pPr>
    <w:rPr>
      <w:rFonts w:eastAsiaTheme="majorEastAsia" w:cs="Calibri"/>
      <w:iCs/>
    </w:rPr>
  </w:style>
  <w:style w:type="paragraph" w:styleId="Heading8">
    <w:name w:val="heading 8"/>
    <w:basedOn w:val="Normal"/>
    <w:next w:val="BodyText"/>
    <w:link w:val="Heading8Char"/>
    <w:unhideWhenUsed/>
    <w:qFormat/>
    <w:rsid w:val="00444F06"/>
    <w:pPr>
      <w:numPr>
        <w:ilvl w:val="7"/>
        <w:numId w:val="4"/>
      </w:numPr>
      <w:tabs>
        <w:tab w:val="left" w:pos="5760"/>
      </w:tabs>
      <w:outlineLvl w:val="7"/>
    </w:pPr>
    <w:rPr>
      <w:rFonts w:eastAsiaTheme="majorEastAsia" w:cs="Calibri"/>
      <w:szCs w:val="21"/>
    </w:rPr>
  </w:style>
  <w:style w:type="paragraph" w:styleId="Heading9">
    <w:name w:val="heading 9"/>
    <w:basedOn w:val="Normal"/>
    <w:next w:val="BodyText"/>
    <w:link w:val="Heading9Char"/>
    <w:unhideWhenUsed/>
    <w:qFormat/>
    <w:rsid w:val="00444F06"/>
    <w:pPr>
      <w:numPr>
        <w:ilvl w:val="8"/>
        <w:numId w:val="4"/>
      </w:numPr>
      <w:tabs>
        <w:tab w:val="left" w:pos="6480"/>
      </w:tabs>
      <w:outlineLvl w:val="8"/>
    </w:pPr>
    <w:rPr>
      <w:rFonts w:eastAsiaTheme="majorEastAsia" w:cs="Calibr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18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93B9A"/>
    <w:rPr>
      <w:rFonts w:ascii="Calibri" w:eastAsiaTheme="majorEastAsia" w:hAnsi="Calibri" w:cs="Calibri"/>
      <w:szCs w:val="32"/>
    </w:rPr>
  </w:style>
  <w:style w:type="character" w:customStyle="1" w:styleId="Heading2Char">
    <w:name w:val="Heading 2 Char"/>
    <w:basedOn w:val="DefaultParagraphFont"/>
    <w:link w:val="Heading2"/>
    <w:rsid w:val="00093B9A"/>
    <w:rPr>
      <w:rFonts w:ascii="Calibri" w:eastAsiaTheme="majorEastAsia" w:hAnsi="Calibri" w:cs="Calibri"/>
      <w:b/>
      <w:szCs w:val="26"/>
    </w:rPr>
  </w:style>
  <w:style w:type="character" w:customStyle="1" w:styleId="Heading3Char">
    <w:name w:val="Heading 3 Char"/>
    <w:basedOn w:val="DefaultParagraphFont"/>
    <w:link w:val="Heading3"/>
    <w:rsid w:val="00093B9A"/>
    <w:rPr>
      <w:rFonts w:ascii="Calibri" w:eastAsiaTheme="majorEastAsia" w:hAnsi="Calibri" w:cs="Calibri"/>
      <w:szCs w:val="24"/>
    </w:rPr>
  </w:style>
  <w:style w:type="character" w:customStyle="1" w:styleId="Heading4Char">
    <w:name w:val="Heading 4 Char"/>
    <w:basedOn w:val="DefaultParagraphFont"/>
    <w:link w:val="Heading4"/>
    <w:rsid w:val="00093B9A"/>
    <w:rPr>
      <w:rFonts w:ascii="Calibri" w:eastAsiaTheme="majorEastAsia" w:hAnsi="Calibri" w:cs="Calibri"/>
      <w:iCs/>
    </w:rPr>
  </w:style>
  <w:style w:type="character" w:customStyle="1" w:styleId="Heading5Char">
    <w:name w:val="Heading 5 Char"/>
    <w:basedOn w:val="DefaultParagraphFont"/>
    <w:link w:val="Heading5"/>
    <w:rsid w:val="00093B9A"/>
    <w:rPr>
      <w:rFonts w:ascii="Calibri" w:eastAsiaTheme="majorEastAsia" w:hAnsi="Calibri" w:cs="Calibri"/>
    </w:rPr>
  </w:style>
  <w:style w:type="character" w:customStyle="1" w:styleId="Heading6Char">
    <w:name w:val="Heading 6 Char"/>
    <w:basedOn w:val="DefaultParagraphFont"/>
    <w:link w:val="Heading6"/>
    <w:rsid w:val="00093B9A"/>
    <w:rPr>
      <w:rFonts w:ascii="Calibri" w:eastAsiaTheme="majorEastAsia" w:hAnsi="Calibri" w:cs="Calibri"/>
    </w:rPr>
  </w:style>
  <w:style w:type="character" w:customStyle="1" w:styleId="Heading7Char">
    <w:name w:val="Heading 7 Char"/>
    <w:basedOn w:val="DefaultParagraphFont"/>
    <w:link w:val="Heading7"/>
    <w:rsid w:val="00093B9A"/>
    <w:rPr>
      <w:rFonts w:ascii="Calibri" w:eastAsiaTheme="majorEastAsia" w:hAnsi="Calibri" w:cs="Calibri"/>
      <w:iCs/>
    </w:rPr>
  </w:style>
  <w:style w:type="character" w:customStyle="1" w:styleId="Heading8Char">
    <w:name w:val="Heading 8 Char"/>
    <w:basedOn w:val="DefaultParagraphFont"/>
    <w:link w:val="Heading8"/>
    <w:rsid w:val="00093B9A"/>
    <w:rPr>
      <w:rFonts w:ascii="Calibri" w:eastAsiaTheme="majorEastAsia" w:hAnsi="Calibri" w:cs="Calibri"/>
      <w:szCs w:val="21"/>
    </w:rPr>
  </w:style>
  <w:style w:type="character" w:customStyle="1" w:styleId="Heading9Char">
    <w:name w:val="Heading 9 Char"/>
    <w:basedOn w:val="DefaultParagraphFont"/>
    <w:link w:val="Heading9"/>
    <w:rsid w:val="00093B9A"/>
    <w:rPr>
      <w:rFonts w:ascii="Calibri" w:eastAsiaTheme="majorEastAsia" w:hAnsi="Calibri" w:cs="Calibri"/>
      <w:iCs/>
      <w:szCs w:val="21"/>
    </w:rPr>
  </w:style>
  <w:style w:type="paragraph" w:customStyle="1" w:styleId="HeadingBody1">
    <w:name w:val="HeadingBody 1"/>
    <w:basedOn w:val="Normal"/>
    <w:next w:val="Normal"/>
    <w:link w:val="HeadingBody1Char"/>
    <w:rsid w:val="00093B9A"/>
    <w:pPr>
      <w:spacing w:after="240"/>
      <w:ind w:firstLine="720"/>
    </w:pPr>
    <w:rPr>
      <w:rFonts w:eastAsia="Times New Roman" w:cs="Calibri"/>
      <w:snapToGrid w:val="0"/>
      <w:color w:val="000000"/>
      <w:szCs w:val="20"/>
    </w:rPr>
  </w:style>
  <w:style w:type="character" w:customStyle="1" w:styleId="HeadingBody1Char">
    <w:name w:val="HeadingBody 1 Char"/>
    <w:basedOn w:val="DefaultParagraphFont"/>
    <w:link w:val="HeadingBody1"/>
    <w:rsid w:val="00093B9A"/>
    <w:rPr>
      <w:rFonts w:ascii="Calibri" w:eastAsia="Times New Roman" w:hAnsi="Calibri" w:cs="Calibri"/>
      <w:snapToGrid w:val="0"/>
      <w:color w:val="000000"/>
      <w:szCs w:val="20"/>
    </w:rPr>
  </w:style>
  <w:style w:type="paragraph" w:customStyle="1" w:styleId="HeadingBody2">
    <w:name w:val="HeadingBody 2"/>
    <w:basedOn w:val="Normal"/>
    <w:next w:val="Normal"/>
    <w:link w:val="HeadingBody2Char"/>
    <w:rsid w:val="00184362"/>
    <w:pPr>
      <w:ind w:firstLine="720"/>
    </w:pPr>
    <w:rPr>
      <w:rFonts w:eastAsiaTheme="majorEastAsia" w:cstheme="majorBidi"/>
      <w:color w:val="000000"/>
      <w:szCs w:val="26"/>
    </w:rPr>
  </w:style>
  <w:style w:type="character" w:customStyle="1" w:styleId="HeadingBody2Char">
    <w:name w:val="HeadingBody 2 Char"/>
    <w:basedOn w:val="Heading2Char"/>
    <w:link w:val="HeadingBody2"/>
    <w:rsid w:val="00184362"/>
    <w:rPr>
      <w:rFonts w:ascii="Calibri" w:eastAsiaTheme="majorEastAsia" w:hAnsi="Calibri" w:cstheme="majorBidi"/>
      <w:b w:val="0"/>
      <w:color w:val="000000"/>
      <w:szCs w:val="26"/>
    </w:rPr>
  </w:style>
  <w:style w:type="paragraph" w:styleId="Header">
    <w:name w:val="header"/>
    <w:basedOn w:val="Normal"/>
    <w:link w:val="HeaderChar"/>
    <w:uiPriority w:val="99"/>
    <w:unhideWhenUsed/>
    <w:rsid w:val="00E41C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1C4D"/>
  </w:style>
  <w:style w:type="paragraph" w:styleId="Footer">
    <w:name w:val="footer"/>
    <w:basedOn w:val="Normal"/>
    <w:link w:val="FooterChar"/>
    <w:uiPriority w:val="99"/>
    <w:unhideWhenUsed/>
    <w:rsid w:val="00E41C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1C4D"/>
  </w:style>
  <w:style w:type="paragraph" w:styleId="BodyText">
    <w:name w:val="Body Text"/>
    <w:basedOn w:val="Normal"/>
    <w:link w:val="BodyTextChar"/>
    <w:uiPriority w:val="99"/>
    <w:semiHidden/>
    <w:unhideWhenUsed/>
    <w:rsid w:val="008E18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91"/>
  </w:style>
  <w:style w:type="paragraph" w:styleId="Index1">
    <w:name w:val="index 1"/>
    <w:basedOn w:val="Normal"/>
    <w:next w:val="Normal"/>
    <w:autoRedefine/>
    <w:semiHidden/>
    <w:rsid w:val="00713D33"/>
    <w:pPr>
      <w:spacing w:after="360"/>
      <w:jc w:val="center"/>
    </w:pPr>
    <w:rPr>
      <w:rFonts w:asciiTheme="minorHAnsi" w:eastAsia="Times New Roman" w:hAnsiTheme="minorHAnsi" w:cstheme="minorHAnsi"/>
      <w:noProof/>
    </w:rPr>
  </w:style>
  <w:style w:type="paragraph" w:styleId="PlainText">
    <w:name w:val="Plain Text"/>
    <w:basedOn w:val="Normal"/>
    <w:link w:val="PlainTextChar"/>
    <w:uiPriority w:val="99"/>
    <w:unhideWhenUsed/>
    <w:rsid w:val="00713D33"/>
    <w:pPr>
      <w:spacing w:after="0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3D33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A3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153"/>
    <w:pPr>
      <w:spacing w:after="0"/>
    </w:pPr>
    <w:rPr>
      <w:rFonts w:asciiTheme="minorHAnsi" w:eastAsia="Times New Roman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153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5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C4A"/>
    <w:pPr>
      <w:spacing w:after="200"/>
    </w:pPr>
    <w:rPr>
      <w:rFonts w:ascii="Calibri" w:eastAsiaTheme="minorHAnsi" w:hAnsi="Calibr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C4A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2FEA"/>
    <w:pPr>
      <w:spacing w:after="0" w:line="240" w:lineRule="auto"/>
    </w:pPr>
    <w:rPr>
      <w:rFonts w:ascii="Calibri" w:hAnsi="Calibri"/>
    </w:rPr>
  </w:style>
  <w:style w:type="paragraph" w:styleId="EndnoteText">
    <w:name w:val="endnote text"/>
    <w:basedOn w:val="Normal"/>
    <w:link w:val="EndnoteTextChar"/>
    <w:uiPriority w:val="99"/>
    <w:unhideWhenUsed/>
    <w:rsid w:val="00B513AB"/>
    <w:pPr>
      <w:spacing w:after="120"/>
    </w:pPr>
    <w:rPr>
      <w:rFonts w:asciiTheme="minorHAnsi" w:eastAsia="Times New Roman" w:hAnsiTheme="minorHAns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513AB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13AB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C711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D0CD-4578-4DAA-BE78-96AB853E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PresentationFormat>14|.DOCX</PresentationFormat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MASTER SERVICES AGREEMENT</vt:lpstr>
      <vt:lpstr>THE SERVICES</vt:lpstr>
      <vt:lpstr>    Performing the Services</vt:lpstr>
      <vt:lpstr>        The Provider shall perform the services stated in one or more written statements</vt:lpstr>
      <vt:lpstr>        At the written request of Acme, the Provider shall notify Acme of progress in pe</vt:lpstr>
      <vt:lpstr>    Staffing</vt:lpstr>
      <vt:lpstr>        The Provider states that Representatives of the Provider have sufficient skill a</vt:lpstr>
      <vt:lpstr>        At the written request of Acme, the Provider shall provide Acme with the resume </vt:lpstr>
      <vt:lpstr>        If Acme notifies the Provider that any one or more one or more Representatives o</vt:lpstr>
      <vt:lpstr>    Subcontractors</vt:lpstr>
      <vt:lpstr>        The Provider will be responsible for any act or failure to act of any subcontrac</vt:lpstr>
      <vt:lpstr>    Access to Equipment and Facilities</vt:lpstr>
      <vt:lpstr>        Except as specified in an SoW, the Provider will be responsible for providing at</vt:lpstr>
      <vt:lpstr>        If specified in an SoW, Acme shall grant the Provider access to any Acme equipme</vt:lpstr>
      <vt:lpstr>        No later than 15 days after the earlier of (1) when the Provider no longer requi</vt:lpstr>
      <vt:lpstr>        Acme may monitor the Provider’s use of Acme’s telecommunications, networking, an</vt:lpstr>
      <vt:lpstr>        The Provider shall not allow to use Acme equipment anyone other than those Repre</vt:lpstr>
      <vt:lpstr>        The Provider shall take precautions to protect Acme’s equipment against loss, th</vt:lpstr>
      <vt:lpstr>        The Provider shall not, and shall instruct Representatives of the Provider and i</vt:lpstr>
      <vt:lpstr>    Performing the Services on Acme’s Premises</vt:lpstr>
      <vt:lpstr>        If Representatives of the Provider and its subcontractors, if any, must be prese</vt:lpstr>
      <vt:lpstr>        While on Acme premises, each Representative of the Provider and its subcontracto</vt:lpstr>
      <vt:lpstr>        The Provider shall request from Acme all information regarding Acme’s premises t</vt:lpstr>
      <vt:lpstr>        The Provider shall notify Acme of the type, quantity, and use of any hazardous m</vt:lpstr>
      <vt:lpstr>        While they are on Acme’s premises, Acme may inspect, in accordance with Acme’s w</vt:lpstr>
      <vt:lpstr>        The Provider acknowledges that personal safety in performing the Services is ess</vt:lpstr>
      <vt:lpstr>        The Provider shall promptly notify Acme of all regulatory safety, health, and en</vt:lpstr>
      <vt:lpstr>        The Provider shall promptly notify Acme of any incident in performing the Servic</vt:lpstr>
      <vt:lpstr>        If Acme notifies or otherwise informs the Provider that unsafe conditions in per</vt:lpstr>
      <vt:lpstr>        If Acme notifies the Provider that one or more Representatives of the Provider o</vt:lpstr>
      <vt:lpstr>    Payment</vt:lpstr>
      <vt:lpstr>        To be valid, each invoice that the Provider submits to Acme must be in the form </vt:lpstr>
      <vt:lpstr>        If the Provider submits an invoice for any of the Services more than three month</vt:lpstr>
      <vt:lpstr>        No later than 60 days after Acme receives from the Provider an invoice for any o</vt:lpstr>
      <vt:lpstr>        [If any amount remains unpaid 30 days after the date of the invoice, as a servic</vt:lpstr>
      <vt:lpstr>        Acme shall reimburse the Provider for expenses that the Provider incurs in perfo</vt:lpstr>
      <vt:lpstr>        The Provider will be responsible for paying all taxes on amounts Acme pays the P</vt:lpstr>
      <vt:lpstr>        Without prior notice to the Provider, Acme may set off any amount it owes to the</vt:lpstr>
      <vt:lpstr>    Independent Contractor</vt:lpstr>
      <vt:lpstr>        The parties intend that the Provider will be an independent contractor.</vt:lpstr>
      <vt:lpstr>        The Provider shall not make any commitment or enter into any contract on behalf </vt:lpstr>
      <vt:lpstr>        The Provider’s employees will not be entitled to any benefits that Acme provides</vt:lpstr>
      <vt:lpstr>RELATED PROVIDER OPERATIONS</vt:lpstr>
      <vt:lpstr>    Government Inquiries</vt:lpstr>
      <vt:lpstr>    Insurance</vt:lpstr>
      <vt:lpstr>        [The Provider shall maintain reasonable insurance policies against the risk of l</vt:lpstr>
      <vt:lpstr>        The Provider shall cause to be named as additional insureds under the insurance </vt:lpstr>
      <vt:lpstr>        At Acme’s request, the Provider shall provide Acme with a certificate of insuran</vt:lpstr>
      <vt:lpstr>    No Soliciting</vt:lpstr>
      <vt:lpstr>        During the term of this agreement and for [three] years thereafter, the Provider</vt:lpstr>
      <vt:lpstr>        This section 2.3 does not prohibit the Provider from hiring any individual who r</vt:lpstr>
      <vt:lpstr>        The Provider acknowledges that this section 2.3 provides Acme reasonable protect</vt:lpstr>
      <vt:lpstr>    Marketing</vt:lpstr>
      <vt:lpstr>    Records</vt:lpstr>
      <vt:lpstr>        The Provider shall maintain records sufficient to allow Acme to verify that the </vt:lpstr>
      <vt:lpstr>        The Provider shall permit Acme and its Representatives to inspect during normal </vt:lpstr>
      <vt:lpstr>    Compliance with Law</vt:lpstr>
      <vt:lpstr>        In performing under this agreement, the Provider shall not violate any law, regu</vt:lpstr>
      <vt:lpstr>        In performing under this agreement, the Provider (1) shall not violate any antic</vt:lpstr>
      <vt:lpstr>    United Nations Global Compact</vt:lpstr>
      <vt:lpstr>        The Provider acknowledges that Acme Group is a party to the Global Compact imple</vt:lpstr>
      <vt:lpstr>        In performing the Services the Provider shall comply with the principles of the </vt:lpstr>
      <vt:lpstr>        The Provider shall promptly provide Acme with any information Acme reasonably re</vt:lpstr>
      <vt:lpstr>    Provider Circumstances</vt:lpstr>
      <vt:lpstr>        The Provider states that the following facts are accurate:</vt:lpstr>
      <vt:lpstr>        The Provider shall promptly notify Acme if at any time the Provider could not ma</vt:lpstr>
      <vt:lpstr>INTELLECTUAL PROPERTY</vt:lpstr>
      <vt:lpstr>    Assignment of Work Product and Developed Intellectual Property</vt:lpstr>
      <vt:lpstr>        The Provider shall require each of its Representatives, each subcontractor, and </vt:lpstr>
      <vt:lpstr>        The Provider hereby assigns to Acme all interests in all Work Product and Develo</vt:lpstr>
      <vt:lpstr>        In this agreement, the following definitions apply:</vt:lpstr>
      <vt:lpstr>    No Infringement</vt:lpstr>
      <vt:lpstr>        In performing the Services, the Provider shall not, directly or indirectly, infr</vt:lpstr>
      <vt:lpstr>    Further Actions</vt:lpstr>
      <vt:lpstr>        At Acme’s request during and after the term of this agreement, the Provider shal</vt:lpstr>
      <vt:lpstr>        The Provider acknowledges that actions the Provider is required to take under se</vt:lpstr>
      <vt:lpstr>        Acme shall reimburse the Provider for reasonable, preapproved out-of-pocket expe</vt:lpstr>
      <vt:lpstr>CONFIDENTIAL INFORMATION</vt:lpstr>
      <vt:lpstr>    Maintaining Confidentiality</vt:lpstr>
      <vt:lpstr>        While the Provider is performing the Services and for _____ years thereafter, th</vt:lpstr>
      <vt:lpstr>        In this agreement, the following definitions apply:</vt:lpstr>
      <vt:lpstr>    Permitted Disclosure</vt:lpstr>
      <vt:lpstr>    Precautions Against Unauthorized Disclosure or Use</vt:lpstr>
      <vt:lpstr>    Notifying Acme of Unauthorized Disclosure or Use</vt:lpstr>
      <vt:lpstr>    Nondisclosure of Agreement</vt:lpstr>
      <vt:lpstr>    Disclosure Required by Law</vt:lpstr>
      <vt:lpstr>    No Disclosing Restricted Information</vt:lpstr>
      <vt:lpstr>    No Statement Regarding Accuracy </vt:lpstr>
      <vt:lpstr>    Information Previously Disclosed</vt:lpstr>
      <vt:lpstr>    Equitable Remedies</vt:lpstr>
      <vt:lpstr>INDEMNIFICATION</vt:lpstr>
      <vt:lpstr>    Indemnification for Nonparty Claims</vt:lpstr>
      <vt:lpstr>        With respect to any Proceeding brought by someone other than the Provider or som</vt:lpstr>
      <vt:lpstr>        To be entitled to indemnification under section 5.1(a), a Acme Indemnitee subjec</vt:lpstr>
      <vt:lpstr>        To assume the defense of a Nonparty Claim, the Provider must notify the Acme Ind</vt:lpstr>
      <vt:lpstr>        A Acme Indemnitee is entitled to participate in the defense of a Nonparty Claim.</vt:lpstr>
      <vt:lpstr>        The Provider shall pay any Litigation Expenses that the Acme Indemnitee incurs i</vt:lpstr>
      <vt:lpstr>        After the Provider assumes the defense of a Nonparty Claim, the Provider may con</vt:lpstr>
      <vt:lpstr>        [The Provider will have no liability with respect to a Nonparty Claim unless the</vt:lpstr>
      <vt:lpstr>        In this agreement, the following definitions apply: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2023-03-21T16:33:00Z</dcterms:created>
  <dcterms:modified xsi:type="dcterms:W3CDTF">2023-03-21T16:43:00Z</dcterms:modified>
</cp:coreProperties>
</file>